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6D793">
      <w:pPr>
        <w:keepNext w:val="0"/>
        <w:keepLines w:val="0"/>
        <w:widowControl/>
        <w:suppressLineNumbers w:val="0"/>
        <w:shd w:val="clear" w:fill="FFFFFF"/>
        <w:adjustRightInd w:val="0"/>
        <w:snapToGrid w:val="0"/>
        <w:spacing w:before="0" w:beforeAutospacing="0" w:after="0" w:afterAutospacing="0" w:line="360" w:lineRule="auto"/>
        <w:ind w:left="0" w:right="0"/>
        <w:jc w:val="center"/>
        <w:rPr>
          <w:rFonts w:hint="default" w:ascii="Times New Roman" w:hAnsi="Times New Roman" w:eastAsia="黑体" w:cs="Times New Roman"/>
          <w:bCs w:val="0"/>
          <w:color w:val="444444"/>
          <w:kern w:val="0"/>
          <w:sz w:val="32"/>
          <w:szCs w:val="32"/>
          <w:shd w:val="clear" w:fill="FFFFFF"/>
          <w:lang w:val="en-US" w:bidi="ar"/>
        </w:rPr>
      </w:pPr>
      <w:r>
        <w:rPr>
          <w:rStyle w:val="6"/>
          <w:rFonts w:hint="eastAsia" w:ascii="Times New Roman" w:hAnsi="Times New Roman" w:eastAsia="黑体" w:cs="黑体"/>
          <w:bCs w:val="0"/>
          <w:color w:val="444444"/>
          <w:kern w:val="0"/>
          <w:sz w:val="32"/>
          <w:szCs w:val="32"/>
          <w:shd w:val="clear" w:fill="FFFFFF"/>
          <w:lang w:val="en-US" w:eastAsia="zh-CN" w:bidi="ar"/>
        </w:rPr>
        <w:t>潍坊前进焊材有限公司镀液处理回用及零排放系统项目第二次公示</w:t>
      </w:r>
    </w:p>
    <w:p w14:paraId="01ED9242">
      <w:pPr>
        <w:snapToGrid w:val="0"/>
        <w:spacing w:line="360" w:lineRule="auto"/>
        <w:ind w:firstLine="480" w:firstLineChars="200"/>
        <w:rPr>
          <w:rFonts w:ascii="Times New Roman" w:hAnsi="Times New Roman" w:cs="Times New Roman"/>
          <w:sz w:val="24"/>
          <w:szCs w:val="28"/>
        </w:rPr>
      </w:pPr>
    </w:p>
    <w:p w14:paraId="0722A000">
      <w:pPr>
        <w:snapToGrid w:val="0"/>
        <w:spacing w:line="360" w:lineRule="auto"/>
        <w:ind w:firstLine="480" w:firstLineChars="200"/>
        <w:rPr>
          <w:rFonts w:ascii="Times New Roman" w:hAnsi="Times New Roman" w:cs="Times New Roman"/>
          <w:sz w:val="24"/>
          <w:szCs w:val="28"/>
        </w:rPr>
      </w:pPr>
      <w:r>
        <w:rPr>
          <w:rFonts w:ascii="Times New Roman" w:hAnsi="Times New Roman" w:cs="Times New Roman"/>
          <w:sz w:val="24"/>
          <w:szCs w:val="28"/>
        </w:rPr>
        <w:t>根据生态环境部《环境影响评价公众参与办法》（生态环境部 第4号）、《建设项目环境影响评价信息公开机制方案》（环发〔2015〕162号）等相关要求，现将</w:t>
      </w:r>
      <w:r>
        <w:rPr>
          <w:rFonts w:hint="eastAsia" w:ascii="Times New Roman" w:hAnsi="Times New Roman" w:cs="Times New Roman"/>
          <w:sz w:val="24"/>
          <w:szCs w:val="28"/>
          <w:lang w:eastAsia="zh-CN"/>
        </w:rPr>
        <w:t>潍坊前进焊材有限公司镀液处理回用及零排放系统项目</w:t>
      </w:r>
      <w:r>
        <w:rPr>
          <w:rFonts w:ascii="Times New Roman" w:hAnsi="Times New Roman" w:cs="Times New Roman"/>
          <w:sz w:val="24"/>
          <w:szCs w:val="28"/>
        </w:rPr>
        <w:t>环境影响评价的有关信息予以公告。</w:t>
      </w:r>
    </w:p>
    <w:p w14:paraId="4DC1E341">
      <w:pPr>
        <w:snapToGrid w:val="0"/>
        <w:spacing w:line="360" w:lineRule="auto"/>
        <w:rPr>
          <w:rFonts w:ascii="Times New Roman" w:hAnsi="Times New Roman" w:cs="Times New Roman"/>
          <w:sz w:val="24"/>
          <w:szCs w:val="28"/>
        </w:rPr>
      </w:pPr>
      <w:r>
        <w:rPr>
          <w:rFonts w:ascii="Times New Roman" w:hAnsi="Times New Roman" w:cs="Times New Roman"/>
          <w:sz w:val="24"/>
          <w:szCs w:val="28"/>
        </w:rPr>
        <w:t>一、建设项目名称及概况</w:t>
      </w:r>
    </w:p>
    <w:p w14:paraId="573162AB">
      <w:pPr>
        <w:snapToGrid w:val="0"/>
        <w:spacing w:line="360" w:lineRule="auto"/>
        <w:rPr>
          <w:rFonts w:hint="eastAsia" w:ascii="Times New Roman" w:hAnsi="Times New Roman" w:cs="Times New Roman" w:eastAsiaTheme="minorEastAsia"/>
          <w:sz w:val="24"/>
          <w:szCs w:val="28"/>
          <w:lang w:eastAsia="zh-CN"/>
        </w:rPr>
      </w:pPr>
      <w:r>
        <w:rPr>
          <w:rFonts w:ascii="Times New Roman" w:hAnsi="Times New Roman" w:cs="Times New Roman"/>
          <w:sz w:val="24"/>
          <w:szCs w:val="28"/>
        </w:rPr>
        <w:t>项目名称：</w:t>
      </w:r>
      <w:r>
        <w:rPr>
          <w:rFonts w:hint="eastAsia" w:ascii="Times New Roman" w:hAnsi="Times New Roman" w:cs="Times New Roman"/>
          <w:sz w:val="24"/>
          <w:szCs w:val="28"/>
          <w:lang w:eastAsia="zh-CN"/>
        </w:rPr>
        <w:t>镀液处理回用及零排放系统项目</w:t>
      </w:r>
      <w:bookmarkStart w:id="0" w:name="_GoBack"/>
      <w:bookmarkEnd w:id="0"/>
    </w:p>
    <w:p w14:paraId="7397B24F">
      <w:pPr>
        <w:snapToGrid w:val="0"/>
        <w:spacing w:line="360" w:lineRule="auto"/>
        <w:rPr>
          <w:rFonts w:ascii="Times New Roman" w:hAnsi="Times New Roman" w:cs="Times New Roman"/>
          <w:sz w:val="24"/>
          <w:szCs w:val="28"/>
        </w:rPr>
      </w:pPr>
      <w:r>
        <w:rPr>
          <w:rFonts w:ascii="Times New Roman" w:hAnsi="Times New Roman" w:cs="Times New Roman"/>
          <w:sz w:val="24"/>
          <w:szCs w:val="28"/>
        </w:rPr>
        <w:t>建设性质：</w:t>
      </w:r>
      <w:r>
        <w:rPr>
          <w:rFonts w:hint="eastAsia" w:ascii="Times New Roman" w:hAnsi="Times New Roman" w:cs="Times New Roman"/>
          <w:sz w:val="24"/>
          <w:szCs w:val="28"/>
          <w:lang w:val="en-US" w:eastAsia="zh-CN"/>
        </w:rPr>
        <w:t>改建</w:t>
      </w:r>
    </w:p>
    <w:p w14:paraId="5B451165">
      <w:pPr>
        <w:snapToGrid w:val="0"/>
        <w:spacing w:line="360" w:lineRule="auto"/>
        <w:rPr>
          <w:rFonts w:hint="eastAsia" w:ascii="Times New Roman" w:hAnsi="Times New Roman" w:cs="Times New Roman"/>
          <w:sz w:val="24"/>
          <w:szCs w:val="28"/>
          <w:lang w:val="en-US" w:eastAsia="zh-CN"/>
        </w:rPr>
      </w:pPr>
      <w:r>
        <w:rPr>
          <w:rFonts w:ascii="Times New Roman" w:hAnsi="Times New Roman" w:cs="Times New Roman"/>
          <w:sz w:val="24"/>
          <w:szCs w:val="28"/>
        </w:rPr>
        <w:t>项目基本情况：</w:t>
      </w:r>
      <w:r>
        <w:rPr>
          <w:rFonts w:hint="eastAsia" w:ascii="Times New Roman" w:hAnsi="Times New Roman" w:cs="Times New Roman"/>
          <w:sz w:val="24"/>
          <w:szCs w:val="28"/>
          <w:lang w:val="en-US" w:eastAsia="zh-CN"/>
        </w:rPr>
        <w:t>项目在现有70t/d废镀铜液再生装置原址建设，全部拆除现有装置，新增1套日处理能力为5t/d的废镀铜液再生装置，包括原料存储、蒸发浓缩、冷凝回收、结晶分离等设备。配套建设天然气管道、电控系统、环保设施等。</w:t>
      </w:r>
    </w:p>
    <w:p w14:paraId="58DF8486">
      <w:pPr>
        <w:snapToGrid w:val="0"/>
        <w:spacing w:line="360" w:lineRule="auto"/>
        <w:rPr>
          <w:rFonts w:ascii="Times New Roman" w:hAnsi="Times New Roman" w:cs="Times New Roman"/>
          <w:sz w:val="24"/>
          <w:szCs w:val="28"/>
        </w:rPr>
      </w:pPr>
      <w:r>
        <w:rPr>
          <w:rFonts w:ascii="Times New Roman" w:hAnsi="Times New Roman" w:cs="Times New Roman"/>
          <w:sz w:val="24"/>
          <w:szCs w:val="28"/>
        </w:rPr>
        <w:t>二、</w:t>
      </w:r>
      <w:r>
        <w:rPr>
          <w:rFonts w:hint="eastAsia" w:ascii="Times New Roman" w:hAnsi="Times New Roman" w:cs="Times New Roman"/>
          <w:sz w:val="24"/>
          <w:szCs w:val="28"/>
        </w:rPr>
        <w:t>征求意见公众范围</w:t>
      </w:r>
    </w:p>
    <w:p w14:paraId="30FF752D">
      <w:pPr>
        <w:snapToGrid w:val="0"/>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rPr>
        <w:t>征求意见的公众范围主要是项目区周围村庄和周围企事业单位以及机关单位或其他组织.</w:t>
      </w:r>
    </w:p>
    <w:p w14:paraId="0095630E">
      <w:pPr>
        <w:snapToGrid w:val="0"/>
        <w:spacing w:line="360" w:lineRule="auto"/>
        <w:rPr>
          <w:rFonts w:ascii="Times New Roman" w:hAnsi="Times New Roman" w:cs="Times New Roman"/>
          <w:sz w:val="24"/>
          <w:szCs w:val="28"/>
        </w:rPr>
      </w:pPr>
      <w:r>
        <w:rPr>
          <w:rFonts w:ascii="Times New Roman" w:hAnsi="Times New Roman" w:cs="Times New Roman"/>
          <w:sz w:val="24"/>
          <w:szCs w:val="28"/>
        </w:rPr>
        <w:t>三、公众意见表的网络连接</w:t>
      </w:r>
    </w:p>
    <w:p w14:paraId="5EC870D2">
      <w:pPr>
        <w:snapToGrid w:val="0"/>
        <w:spacing w:line="360" w:lineRule="auto"/>
        <w:ind w:firstLine="480" w:firstLineChars="200"/>
        <w:rPr>
          <w:rFonts w:ascii="Times New Roman" w:hAnsi="Times New Roman" w:cs="Times New Roman"/>
          <w:sz w:val="24"/>
          <w:szCs w:val="28"/>
        </w:rPr>
      </w:pPr>
      <w:r>
        <w:rPr>
          <w:rFonts w:ascii="Times New Roman" w:hAnsi="Times New Roman" w:cs="Times New Roman"/>
          <w:sz w:val="24"/>
          <w:szCs w:val="28"/>
        </w:rPr>
        <w:t>http://www.mee.gov.cn/xxgk2018/xxgk/xxgk01/201810/t20181024_665329.html</w:t>
      </w:r>
    </w:p>
    <w:p w14:paraId="5BBD97A3">
      <w:pPr>
        <w:snapToGrid w:val="0"/>
        <w:spacing w:line="360" w:lineRule="auto"/>
        <w:rPr>
          <w:rFonts w:ascii="Times New Roman" w:hAnsi="Times New Roman" w:cs="Times New Roman"/>
          <w:sz w:val="24"/>
          <w:szCs w:val="28"/>
        </w:rPr>
      </w:pPr>
      <w:r>
        <w:rPr>
          <w:rFonts w:hint="eastAsia" w:ascii="Times New Roman" w:hAnsi="Times New Roman" w:cs="Times New Roman"/>
          <w:sz w:val="24"/>
          <w:szCs w:val="28"/>
        </w:rPr>
        <w:t>四</w:t>
      </w:r>
      <w:r>
        <w:rPr>
          <w:rFonts w:ascii="Times New Roman" w:hAnsi="Times New Roman" w:cs="Times New Roman"/>
          <w:sz w:val="24"/>
          <w:szCs w:val="28"/>
        </w:rPr>
        <w:t>、提交公众意见表的方式和途径、起止日期</w:t>
      </w:r>
    </w:p>
    <w:p w14:paraId="01F61C12">
      <w:pPr>
        <w:snapToGrid w:val="0"/>
        <w:spacing w:line="360" w:lineRule="auto"/>
        <w:ind w:firstLine="480" w:firstLineChars="200"/>
        <w:rPr>
          <w:rFonts w:ascii="Times New Roman" w:hAnsi="Times New Roman" w:cs="Times New Roman"/>
          <w:sz w:val="24"/>
          <w:szCs w:val="28"/>
        </w:rPr>
      </w:pPr>
      <w:r>
        <w:rPr>
          <w:rFonts w:ascii="Times New Roman" w:hAnsi="Times New Roman" w:cs="Times New Roman"/>
          <w:sz w:val="24"/>
          <w:szCs w:val="28"/>
        </w:rPr>
        <w:t>公众可以通过电话、传真、电子邮件、信件等方式提出关于项目建设的意见或建议</w:t>
      </w:r>
      <w:r>
        <w:rPr>
          <w:rFonts w:hint="eastAsia" w:ascii="Times New Roman" w:hAnsi="Times New Roman" w:cs="Times New Roman"/>
          <w:sz w:val="24"/>
          <w:szCs w:val="28"/>
          <w:lang w:eastAsia="zh-CN"/>
        </w:rPr>
        <w:t>。</w:t>
      </w:r>
      <w:r>
        <w:rPr>
          <w:rFonts w:ascii="Times New Roman" w:hAnsi="Times New Roman" w:cs="Times New Roman"/>
          <w:sz w:val="24"/>
          <w:szCs w:val="28"/>
        </w:rPr>
        <w:t>本次征求意见时间从公示之日起</w:t>
      </w:r>
      <w:r>
        <w:rPr>
          <w:rFonts w:hint="eastAsia" w:ascii="Times New Roman" w:hAnsi="Times New Roman" w:cs="Times New Roman"/>
          <w:sz w:val="24"/>
          <w:szCs w:val="28"/>
          <w:lang w:val="en-US" w:eastAsia="zh-CN"/>
        </w:rPr>
        <w:t>5</w:t>
      </w:r>
      <w:r>
        <w:rPr>
          <w:rFonts w:ascii="Times New Roman" w:hAnsi="Times New Roman" w:cs="Times New Roman"/>
          <w:sz w:val="24"/>
          <w:szCs w:val="28"/>
        </w:rPr>
        <w:t>个工作日内：202</w:t>
      </w:r>
      <w:r>
        <w:rPr>
          <w:rFonts w:hint="eastAsia" w:ascii="Times New Roman" w:hAnsi="Times New Roman" w:cs="Times New Roman"/>
          <w:sz w:val="24"/>
          <w:szCs w:val="28"/>
          <w:lang w:val="en-US" w:eastAsia="zh-CN"/>
        </w:rPr>
        <w:t>6</w:t>
      </w:r>
      <w:r>
        <w:rPr>
          <w:rFonts w:ascii="Times New Roman" w:hAnsi="Times New Roman" w:cs="Times New Roman"/>
          <w:sz w:val="24"/>
          <w:szCs w:val="28"/>
        </w:rPr>
        <w:t>年</w:t>
      </w:r>
      <w:r>
        <w:rPr>
          <w:rFonts w:hint="eastAsia" w:ascii="Times New Roman" w:hAnsi="Times New Roman" w:cs="Times New Roman"/>
          <w:sz w:val="24"/>
          <w:szCs w:val="28"/>
          <w:lang w:val="en-US" w:eastAsia="zh-CN"/>
        </w:rPr>
        <w:t>1</w:t>
      </w:r>
      <w:r>
        <w:rPr>
          <w:rFonts w:ascii="Times New Roman" w:hAnsi="Times New Roman" w:cs="Times New Roman"/>
          <w:sz w:val="24"/>
          <w:szCs w:val="28"/>
        </w:rPr>
        <w:t>月</w:t>
      </w:r>
      <w:r>
        <w:rPr>
          <w:rFonts w:hint="eastAsia" w:ascii="Times New Roman" w:hAnsi="Times New Roman" w:cs="Times New Roman"/>
          <w:sz w:val="24"/>
          <w:szCs w:val="28"/>
          <w:lang w:val="en-US" w:eastAsia="zh-CN"/>
        </w:rPr>
        <w:t>12</w:t>
      </w:r>
      <w:r>
        <w:rPr>
          <w:rFonts w:ascii="Times New Roman" w:hAnsi="Times New Roman" w:cs="Times New Roman"/>
          <w:sz w:val="24"/>
          <w:szCs w:val="28"/>
        </w:rPr>
        <w:t>日~202</w:t>
      </w:r>
      <w:r>
        <w:rPr>
          <w:rFonts w:hint="eastAsia" w:ascii="Times New Roman" w:hAnsi="Times New Roman" w:cs="Times New Roman"/>
          <w:sz w:val="24"/>
          <w:szCs w:val="28"/>
          <w:lang w:val="en-US" w:eastAsia="zh-CN"/>
        </w:rPr>
        <w:t>6</w:t>
      </w:r>
      <w:r>
        <w:rPr>
          <w:rFonts w:ascii="Times New Roman" w:hAnsi="Times New Roman" w:cs="Times New Roman"/>
          <w:sz w:val="24"/>
          <w:szCs w:val="28"/>
        </w:rPr>
        <w:t>年</w:t>
      </w:r>
      <w:r>
        <w:rPr>
          <w:rFonts w:hint="eastAsia" w:ascii="Times New Roman" w:hAnsi="Times New Roman" w:cs="Times New Roman"/>
          <w:sz w:val="24"/>
          <w:szCs w:val="28"/>
          <w:lang w:val="en-US" w:eastAsia="zh-CN"/>
        </w:rPr>
        <w:t>1</w:t>
      </w:r>
      <w:r>
        <w:rPr>
          <w:rFonts w:ascii="Times New Roman" w:hAnsi="Times New Roman" w:cs="Times New Roman"/>
          <w:sz w:val="24"/>
          <w:szCs w:val="28"/>
        </w:rPr>
        <w:t>月</w:t>
      </w:r>
      <w:r>
        <w:rPr>
          <w:rFonts w:hint="eastAsia" w:ascii="Times New Roman" w:hAnsi="Times New Roman" w:cs="Times New Roman"/>
          <w:sz w:val="24"/>
          <w:szCs w:val="28"/>
          <w:lang w:val="en-US" w:eastAsia="zh-CN"/>
        </w:rPr>
        <w:t>16</w:t>
      </w:r>
      <w:r>
        <w:rPr>
          <w:rFonts w:ascii="Times New Roman" w:hAnsi="Times New Roman" w:cs="Times New Roman"/>
          <w:sz w:val="24"/>
          <w:szCs w:val="28"/>
        </w:rPr>
        <w:t>日</w:t>
      </w:r>
    </w:p>
    <w:p w14:paraId="419036F1">
      <w:pPr>
        <w:snapToGrid w:val="0"/>
        <w:spacing w:line="360" w:lineRule="auto"/>
        <w:rPr>
          <w:rFonts w:ascii="Times New Roman" w:hAnsi="Times New Roman" w:cs="Times New Roman"/>
          <w:sz w:val="24"/>
          <w:szCs w:val="28"/>
        </w:rPr>
      </w:pPr>
      <w:r>
        <w:rPr>
          <w:rFonts w:hint="eastAsia" w:ascii="Times New Roman" w:hAnsi="Times New Roman" w:cs="Times New Roman"/>
          <w:sz w:val="24"/>
          <w:szCs w:val="28"/>
        </w:rPr>
        <w:t>五</w:t>
      </w:r>
      <w:r>
        <w:rPr>
          <w:rFonts w:ascii="Times New Roman" w:hAnsi="Times New Roman" w:cs="Times New Roman"/>
          <w:sz w:val="24"/>
          <w:szCs w:val="28"/>
        </w:rPr>
        <w:t>、</w:t>
      </w:r>
      <w:r>
        <w:rPr>
          <w:rFonts w:hint="eastAsia" w:ascii="Times New Roman" w:hAnsi="Times New Roman" w:cs="Times New Roman"/>
          <w:sz w:val="24"/>
          <w:szCs w:val="28"/>
        </w:rPr>
        <w:t>附件</w:t>
      </w:r>
    </w:p>
    <w:p w14:paraId="4F623CD1">
      <w:pPr>
        <w:snapToGrid w:val="0"/>
        <w:spacing w:line="360" w:lineRule="auto"/>
        <w:jc w:val="left"/>
        <w:rPr>
          <w:rFonts w:hint="eastAsia" w:ascii="Times New Roman" w:hAnsi="Times New Roman" w:cs="Times New Roman"/>
          <w:sz w:val="24"/>
          <w:szCs w:val="28"/>
        </w:rPr>
      </w:pPr>
      <w:r>
        <w:rPr>
          <w:rFonts w:hint="eastAsia" w:ascii="Times New Roman" w:hAnsi="Times New Roman" w:cs="Times New Roman"/>
          <w:sz w:val="24"/>
          <w:szCs w:val="28"/>
        </w:rPr>
        <w:t xml:space="preserve">链接: https://pan.baidu.com/s/16LUnHt3W5xhQSamIC-sQpA?pwd=mnea </w:t>
      </w:r>
    </w:p>
    <w:p w14:paraId="473EC2DF">
      <w:pPr>
        <w:snapToGrid w:val="0"/>
        <w:spacing w:line="360" w:lineRule="auto"/>
        <w:jc w:val="left"/>
        <w:rPr>
          <w:rFonts w:hint="eastAsia" w:ascii="Times New Roman" w:hAnsi="Times New Roman" w:cs="Times New Roman"/>
          <w:sz w:val="24"/>
          <w:szCs w:val="28"/>
        </w:rPr>
      </w:pPr>
      <w:r>
        <w:rPr>
          <w:rFonts w:hint="eastAsia" w:ascii="Times New Roman" w:hAnsi="Times New Roman" w:cs="Times New Roman"/>
          <w:sz w:val="24"/>
          <w:szCs w:val="28"/>
        </w:rPr>
        <w:t>提取码: mnea</w:t>
      </w:r>
    </w:p>
    <w:p w14:paraId="456FCA84">
      <w:pPr>
        <w:snapToGrid w:val="0"/>
        <w:spacing w:line="360" w:lineRule="auto"/>
        <w:jc w:val="right"/>
        <w:rPr>
          <w:rFonts w:hint="eastAsia" w:ascii="Times New Roman" w:hAnsi="Times New Roman" w:cs="Times New Roman"/>
          <w:sz w:val="24"/>
          <w:szCs w:val="28"/>
          <w:lang w:eastAsia="zh-CN"/>
        </w:rPr>
      </w:pPr>
      <w:r>
        <w:rPr>
          <w:rFonts w:hint="eastAsia" w:ascii="Times New Roman" w:hAnsi="Times New Roman" w:cs="Times New Roman"/>
          <w:sz w:val="24"/>
          <w:szCs w:val="28"/>
          <w:lang w:eastAsia="zh-CN"/>
        </w:rPr>
        <w:t>潍坊前进焊材有限公司</w:t>
      </w:r>
    </w:p>
    <w:p w14:paraId="1DC95E07">
      <w:pPr>
        <w:snapToGrid w:val="0"/>
        <w:spacing w:line="360" w:lineRule="auto"/>
        <w:jc w:val="right"/>
        <w:rPr>
          <w:rFonts w:hint="default" w:ascii="Times New Roman" w:hAnsi="Times New Roman" w:cs="Times New Roman"/>
          <w:sz w:val="24"/>
          <w:szCs w:val="28"/>
          <w:lang w:val="en-US" w:eastAsia="zh-CN"/>
        </w:rPr>
      </w:pPr>
      <w:r>
        <w:rPr>
          <w:rFonts w:hint="eastAsia" w:ascii="Times New Roman" w:hAnsi="Times New Roman" w:cs="Times New Roman"/>
          <w:sz w:val="24"/>
          <w:szCs w:val="28"/>
          <w:lang w:val="en-US" w:eastAsia="zh-CN"/>
        </w:rPr>
        <w:t>2026.1.12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ZGQ5NGVlYWExZjdhYTg1MmEyYTQ1OTFiMWRiZTYifQ=="/>
  </w:docVars>
  <w:rsids>
    <w:rsidRoot w:val="004F0C63"/>
    <w:rsid w:val="004F0C63"/>
    <w:rsid w:val="00663AD0"/>
    <w:rsid w:val="00913C26"/>
    <w:rsid w:val="00C51227"/>
    <w:rsid w:val="00EB5B37"/>
    <w:rsid w:val="18DD6ACD"/>
    <w:rsid w:val="2090049F"/>
    <w:rsid w:val="27041B2C"/>
    <w:rsid w:val="5C57530A"/>
    <w:rsid w:val="62C22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433</Words>
  <Characters>535</Characters>
  <Lines>3</Lines>
  <Paragraphs>1</Paragraphs>
  <TotalTime>2</TotalTime>
  <ScaleCrop>false</ScaleCrop>
  <LinksUpToDate>false</LinksUpToDate>
  <CharactersWithSpaces>536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2023-12-22T01:54:00Z</dcterms:created>
  <dc:creator>Administrator</dc:creator>
  <cp:lastModifiedBy>只如初见</cp:lastModifiedBy>
  <dcterms:modified xsi:type="dcterms:W3CDTF">2026-01-15T07:54:27Z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250117797C26400F9F9500B4FB446F84_12</vt:lpwstr>
  </property>
  <property fmtid="{D5CDD505-2E9C-101B-9397-08002B2CF9AE}" pid="4" name="KSOTemplateDocerSaveRecord">
    <vt:lpwstr>eyJoZGlkIjoiNjYxZGQ5NGVlYWExZjdhYTg1MmEyYTQ1OTFiMWRiZTYiLCJ1c2VySWQiOiIzNDMyNDgzMzEifQ==</vt:lpwstr>
  </property>
</Properties>
</file>