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0"/>
          <w:szCs w:val="48"/>
          <w:lang w:val="en-US"/>
        </w:rPr>
      </w:pPr>
      <w:r>
        <w:rPr>
          <w:rFonts w:hint="eastAsia"/>
          <w:sz w:val="40"/>
          <w:szCs w:val="48"/>
          <w:lang w:val="en-US" w:eastAsia="zh-CN"/>
        </w:rPr>
        <w:t>寿光市三洋木制品有限公司</w:t>
      </w:r>
      <w:r>
        <w:rPr>
          <w:rFonts w:hint="eastAsia"/>
          <w:sz w:val="40"/>
          <w:szCs w:val="48"/>
        </w:rPr>
        <w:t>2021年危废产生、处理</w:t>
      </w:r>
      <w:r>
        <w:rPr>
          <w:rFonts w:hint="eastAsia"/>
          <w:sz w:val="40"/>
          <w:szCs w:val="48"/>
          <w:lang w:val="en-US" w:eastAsia="zh-CN"/>
        </w:rPr>
        <w:t>情况信息公开</w:t>
      </w:r>
    </w:p>
    <w:tbl>
      <w:tblPr>
        <w:tblStyle w:val="3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70"/>
        <w:gridCol w:w="1778"/>
        <w:gridCol w:w="1645"/>
        <w:gridCol w:w="3901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产生数量（吨）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处置数量（吨）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处置单位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5.63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潍坊环海博锐再生资源有限公司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废油漆桶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3.02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山东清博生态材料综合利用有限公司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17.22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17.22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山东德锦环保产业发展有限公司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22.49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22.49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济南莱芜鑫润环保科技有限公司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漆渣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197.905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197.905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潍坊环海博锐再生资源有限公司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40.32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40.32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山东清博生态材料综合利用有限公司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97.82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97.82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莱阳市春帆漆业有限责任公司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70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废油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1.07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1.07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山东清博生态材料综合利用有限公司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70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废盐酸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2.05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2.05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青岛海湾新材料科技有限公司</w:t>
            </w: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70" w:type="dxa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= sum(B2:B10) \* MERGEFORMAT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vertAlign w:val="baseline"/>
                <w:lang w:val="en-US" w:eastAsia="zh-CN"/>
              </w:rPr>
              <w:t>387.525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387.525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9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GJiODIzYzgyOTQ4Y2E0YTg4MDE2Yjk2NDE2YTQifQ=="/>
  </w:docVars>
  <w:rsids>
    <w:rsidRoot w:val="00000000"/>
    <w:rsid w:val="3F2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2022-09-24T05:34:53Z</dcterms:created>
  <dc:creator>Administrator</dc:creator>
  <cp:lastModifiedBy>Administrator</cp:lastModifiedBy>
  <dcterms:modified xsi:type="dcterms:W3CDTF">2022-09-24T06:22:17Z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2AF8B5D8D05047D0AF539513982DD323</vt:lpwstr>
  </property>
</Properties>
</file>