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b/>
          <w:sz w:val="48"/>
          <w:szCs w:val="48"/>
        </w:rPr>
      </w:pPr>
    </w:p>
    <w:p>
      <w:pPr>
        <w:rPr>
          <w:rFonts w:hint="eastAsia"/>
          <w:b/>
          <w:sz w:val="48"/>
          <w:szCs w:val="48"/>
        </w:rPr>
      </w:pPr>
    </w:p>
    <w:p>
      <w:pPr>
        <w:rPr>
          <w:rFonts w:hint="eastAsia"/>
          <w:b/>
          <w:sz w:val="48"/>
          <w:szCs w:val="48"/>
        </w:rPr>
      </w:pPr>
    </w:p>
    <w:p>
      <w:pPr>
        <w:rPr>
          <w:rFonts w:hint="eastAsia"/>
          <w:b/>
          <w:sz w:val="48"/>
          <w:szCs w:val="48"/>
        </w:rPr>
      </w:pPr>
    </w:p>
    <w:p>
      <w:pPr>
        <w:rPr>
          <w:b/>
          <w:sz w:val="48"/>
          <w:szCs w:val="48"/>
        </w:rPr>
      </w:pPr>
    </w:p>
    <w:p>
      <w:pPr>
        <w:spacing w:line="480" w:lineRule="auto"/>
        <w:jc w:val="center"/>
        <w:rPr>
          <w:b/>
          <w:sz w:val="48"/>
          <w:szCs w:val="48"/>
        </w:rPr>
      </w:pPr>
      <w:r>
        <w:rPr>
          <w:b/>
          <w:sz w:val="48"/>
          <w:szCs w:val="48"/>
        </w:rPr>
        <w:t>潍坊华奥焦化有限公司</w:t>
      </w:r>
    </w:p>
    <w:p>
      <w:pPr>
        <w:spacing w:line="480" w:lineRule="auto"/>
        <w:jc w:val="center"/>
        <w:rPr>
          <w:b/>
          <w:sz w:val="48"/>
          <w:szCs w:val="48"/>
        </w:rPr>
      </w:pPr>
    </w:p>
    <w:p>
      <w:pPr>
        <w:spacing w:line="480" w:lineRule="auto"/>
        <w:jc w:val="center"/>
        <w:rPr>
          <w:b/>
          <w:sz w:val="48"/>
          <w:szCs w:val="48"/>
        </w:rPr>
      </w:pPr>
      <w:r>
        <w:rPr>
          <w:rFonts w:hint="eastAsia"/>
          <w:b/>
          <w:sz w:val="48"/>
          <w:szCs w:val="48"/>
          <w:lang w:val="en-US" w:eastAsia="zh-CN"/>
        </w:rPr>
        <w:t>2022年</w:t>
      </w:r>
      <w:r>
        <w:rPr>
          <w:rFonts w:hint="eastAsia"/>
          <w:b/>
          <w:sz w:val="48"/>
          <w:szCs w:val="48"/>
        </w:rPr>
        <w:t>土壤自行检测方案</w:t>
      </w:r>
    </w:p>
    <w:p>
      <w:pPr>
        <w:jc w:val="center"/>
        <w:rPr>
          <w:b/>
          <w:sz w:val="48"/>
          <w:szCs w:val="48"/>
        </w:rPr>
      </w:pPr>
    </w:p>
    <w:p>
      <w:pPr>
        <w:jc w:val="center"/>
        <w:rPr>
          <w:b/>
          <w:sz w:val="48"/>
          <w:szCs w:val="48"/>
        </w:rPr>
      </w:pPr>
    </w:p>
    <w:p>
      <w:pPr>
        <w:jc w:val="center"/>
        <w:rPr>
          <w:b/>
          <w:sz w:val="48"/>
          <w:szCs w:val="48"/>
        </w:rPr>
      </w:pPr>
    </w:p>
    <w:p>
      <w:pPr>
        <w:rPr>
          <w:b/>
          <w:sz w:val="48"/>
          <w:szCs w:val="48"/>
        </w:rPr>
      </w:pPr>
    </w:p>
    <w:p>
      <w:pPr>
        <w:jc w:val="center"/>
        <w:rPr>
          <w:b/>
          <w:sz w:val="48"/>
          <w:szCs w:val="48"/>
        </w:rPr>
      </w:pPr>
    </w:p>
    <w:p>
      <w:pPr>
        <w:jc w:val="center"/>
        <w:rPr>
          <w:b/>
          <w:sz w:val="48"/>
          <w:szCs w:val="48"/>
        </w:rPr>
      </w:pPr>
    </w:p>
    <w:p>
      <w:pPr>
        <w:jc w:val="center"/>
        <w:rPr>
          <w:b/>
          <w:sz w:val="48"/>
          <w:szCs w:val="48"/>
        </w:rPr>
      </w:pPr>
    </w:p>
    <w:p>
      <w:pPr>
        <w:jc w:val="center"/>
        <w:rPr>
          <w:b/>
          <w:sz w:val="48"/>
          <w:szCs w:val="48"/>
        </w:rPr>
      </w:pPr>
    </w:p>
    <w:p>
      <w:pPr>
        <w:jc w:val="center"/>
        <w:rPr>
          <w:b/>
          <w:sz w:val="48"/>
          <w:szCs w:val="48"/>
        </w:rPr>
      </w:pPr>
    </w:p>
    <w:p>
      <w:pPr>
        <w:jc w:val="center"/>
        <w:rPr>
          <w:b/>
          <w:sz w:val="48"/>
          <w:szCs w:val="48"/>
        </w:rPr>
      </w:pPr>
    </w:p>
    <w:p>
      <w:pPr>
        <w:jc w:val="center"/>
        <w:rPr>
          <w:b/>
          <w:sz w:val="48"/>
          <w:szCs w:val="48"/>
        </w:rPr>
      </w:pPr>
    </w:p>
    <w:p>
      <w:pPr>
        <w:jc w:val="center"/>
        <w:rPr>
          <w:b/>
          <w:sz w:val="48"/>
          <w:szCs w:val="48"/>
        </w:rPr>
      </w:pPr>
    </w:p>
    <w:p>
      <w:pPr>
        <w:jc w:val="center"/>
        <w:rPr>
          <w:b/>
          <w:sz w:val="32"/>
          <w:szCs w:val="32"/>
        </w:rPr>
      </w:pPr>
    </w:p>
    <w:p>
      <w:pPr>
        <w:jc w:val="center"/>
        <w:rPr>
          <w:b/>
          <w:sz w:val="32"/>
          <w:szCs w:val="32"/>
        </w:rPr>
      </w:pPr>
    </w:p>
    <w:p>
      <w:pPr>
        <w:pStyle w:val="2"/>
        <w:rPr>
          <w:rFonts w:ascii="Times New Roman" w:hAnsi="Times New Roman"/>
          <w:color w:val="000000" w:themeColor="text1"/>
          <w:sz w:val="30"/>
          <w:szCs w:val="30"/>
          <w14:textFill>
            <w14:solidFill>
              <w14:schemeClr w14:val="tx1"/>
            </w14:solidFill>
          </w14:textFill>
        </w:rPr>
      </w:pPr>
      <w:bookmarkStart w:id="0" w:name="_Toc10536566"/>
      <w:bookmarkStart w:id="1" w:name="_Toc10535130"/>
      <w:r>
        <w:rPr>
          <w:rFonts w:hint="eastAsia" w:ascii="Times New Roman" w:hAnsi="Times New Roman"/>
          <w:color w:val="000000" w:themeColor="text1"/>
          <w:sz w:val="30"/>
          <w:szCs w:val="30"/>
          <w14:textFill>
            <w14:solidFill>
              <w14:schemeClr w14:val="tx1"/>
            </w14:solidFill>
          </w14:textFill>
        </w:rPr>
        <w:t>1</w:t>
      </w:r>
      <w:r>
        <w:rPr>
          <w:rFonts w:ascii="Times New Roman" w:hAnsi="Times New Roman"/>
          <w:color w:val="000000" w:themeColor="text1"/>
          <w:sz w:val="30"/>
          <w:szCs w:val="30"/>
          <w14:textFill>
            <w14:solidFill>
              <w14:schemeClr w14:val="tx1"/>
            </w14:solidFill>
          </w14:textFill>
        </w:rPr>
        <w:t>.1监测范围</w:t>
      </w:r>
      <w:bookmarkEnd w:id="0"/>
      <w:bookmarkEnd w:id="1"/>
    </w:p>
    <w:p>
      <w:pPr>
        <w:spacing w:line="360" w:lineRule="auto"/>
        <w:ind w:firstLine="480" w:firstLineChars="200"/>
        <w:rPr>
          <w:color w:val="000000"/>
          <w:sz w:val="24"/>
        </w:rPr>
      </w:pPr>
      <w:r>
        <w:rPr>
          <w:rFonts w:hint="eastAsia"/>
          <w:color w:val="000000"/>
          <w:sz w:val="24"/>
        </w:rPr>
        <w:t>山东省地质矿产勘查开发局第四地质大队</w:t>
      </w:r>
      <w:r>
        <w:rPr>
          <w:rFonts w:hint="eastAsia"/>
          <w:color w:val="000000"/>
          <w:sz w:val="24"/>
          <w:lang w:val="en-US" w:eastAsia="zh-CN"/>
        </w:rPr>
        <w:t>于2021年论证编制《水文地质调查报告》，结论为企业厂区内在钻探过程中，现场钻探至隔水层以上，未见明显砂层，含水层透水性、富水性极其微弱，无法作为地下水监测井使用。因此</w:t>
      </w:r>
      <w:r>
        <w:rPr>
          <w:color w:val="000000"/>
          <w:sz w:val="24"/>
        </w:rPr>
        <w:t>本次</w:t>
      </w:r>
      <w:r>
        <w:rPr>
          <w:rFonts w:hint="eastAsia"/>
          <w:color w:val="000000"/>
          <w:sz w:val="24"/>
          <w:lang w:val="en-US" w:eastAsia="zh-CN"/>
        </w:rPr>
        <w:t>仅包含</w:t>
      </w:r>
      <w:r>
        <w:rPr>
          <w:color w:val="000000"/>
          <w:sz w:val="24"/>
        </w:rPr>
        <w:t>土壤环境调查和监测的范围是潍坊华奥焦化有限公司企业内部，以地块范围内敏感设施和敏感区域的土壤为主，进行监测工作。</w:t>
      </w:r>
    </w:p>
    <w:p>
      <w:pPr>
        <w:pStyle w:val="2"/>
        <w:rPr>
          <w:rFonts w:ascii="Times New Roman" w:hAnsi="Times New Roman"/>
          <w:color w:val="000000" w:themeColor="text1"/>
          <w:sz w:val="30"/>
          <w:szCs w:val="30"/>
          <w14:textFill>
            <w14:solidFill>
              <w14:schemeClr w14:val="tx1"/>
            </w14:solidFill>
          </w14:textFill>
        </w:rPr>
      </w:pPr>
      <w:bookmarkStart w:id="2" w:name="_Toc10536567"/>
      <w:bookmarkStart w:id="3" w:name="_Toc10535131"/>
      <w:r>
        <w:rPr>
          <w:rFonts w:hint="eastAsia" w:ascii="Times New Roman" w:hAnsi="Times New Roman"/>
          <w:color w:val="000000" w:themeColor="text1"/>
          <w:sz w:val="30"/>
          <w:szCs w:val="30"/>
          <w14:textFill>
            <w14:solidFill>
              <w14:schemeClr w14:val="tx1"/>
            </w14:solidFill>
          </w14:textFill>
        </w:rPr>
        <w:t>1</w:t>
      </w:r>
      <w:r>
        <w:rPr>
          <w:rFonts w:ascii="Times New Roman" w:hAnsi="Times New Roman"/>
          <w:color w:val="000000" w:themeColor="text1"/>
          <w:sz w:val="30"/>
          <w:szCs w:val="30"/>
          <w14:textFill>
            <w14:solidFill>
              <w14:schemeClr w14:val="tx1"/>
            </w14:solidFill>
          </w14:textFill>
        </w:rPr>
        <w:t>.2监测频次</w:t>
      </w:r>
      <w:bookmarkEnd w:id="2"/>
      <w:bookmarkEnd w:id="3"/>
    </w:p>
    <w:p>
      <w:pPr>
        <w:spacing w:line="360" w:lineRule="auto"/>
        <w:ind w:firstLine="480" w:firstLineChars="200"/>
        <w:rPr>
          <w:rFonts w:eastAsia="黑体"/>
          <w:color w:val="000000" w:themeColor="text1"/>
          <w:sz w:val="30"/>
          <w:szCs w:val="30"/>
          <w14:textFill>
            <w14:solidFill>
              <w14:schemeClr w14:val="tx1"/>
            </w14:solidFill>
          </w14:textFill>
        </w:rPr>
      </w:pPr>
      <w:r>
        <w:rPr>
          <w:color w:val="000000"/>
          <w:sz w:val="24"/>
        </w:rPr>
        <w:t>根据</w:t>
      </w:r>
      <w:r>
        <w:rPr>
          <w:bCs/>
          <w:color w:val="000000" w:themeColor="text1"/>
          <w:sz w:val="24"/>
          <w14:textFill>
            <w14:solidFill>
              <w14:schemeClr w14:val="tx1"/>
            </w14:solidFill>
          </w14:textFill>
        </w:rPr>
        <w:t>《</w:t>
      </w:r>
      <w:r>
        <w:rPr>
          <w:sz w:val="24"/>
        </w:rPr>
        <w:t>潍坊华奥焦化有限公司</w:t>
      </w:r>
      <w:r>
        <w:rPr>
          <w:bCs/>
          <w:color w:val="000000" w:themeColor="text1"/>
          <w:sz w:val="24"/>
          <w14:textFill>
            <w14:solidFill>
              <w14:schemeClr w14:val="tx1"/>
            </w14:solidFill>
          </w14:textFill>
        </w:rPr>
        <w:t>土壤污染防治责任书》，企业每年要自行对其用地进行土壤环境监测，结果向社会公开。</w:t>
      </w:r>
    </w:p>
    <w:p>
      <w:pPr>
        <w:pStyle w:val="2"/>
        <w:rPr>
          <w:rFonts w:ascii="Times New Roman" w:hAnsi="Times New Roman"/>
          <w:color w:val="000000" w:themeColor="text1"/>
          <w:sz w:val="30"/>
          <w:szCs w:val="30"/>
          <w14:textFill>
            <w14:solidFill>
              <w14:schemeClr w14:val="tx1"/>
            </w14:solidFill>
          </w14:textFill>
        </w:rPr>
      </w:pPr>
      <w:bookmarkStart w:id="4" w:name="_Toc10536568"/>
      <w:bookmarkStart w:id="5" w:name="_Toc10535132"/>
      <w:r>
        <w:rPr>
          <w:rFonts w:hint="eastAsia" w:ascii="Times New Roman" w:hAnsi="Times New Roman"/>
          <w:color w:val="000000" w:themeColor="text1"/>
          <w:sz w:val="30"/>
          <w:szCs w:val="30"/>
          <w14:textFill>
            <w14:solidFill>
              <w14:schemeClr w14:val="tx1"/>
            </w14:solidFill>
          </w14:textFill>
        </w:rPr>
        <w:t>1</w:t>
      </w:r>
      <w:r>
        <w:rPr>
          <w:rFonts w:ascii="Times New Roman" w:hAnsi="Times New Roman"/>
          <w:color w:val="000000" w:themeColor="text1"/>
          <w:sz w:val="30"/>
          <w:szCs w:val="30"/>
          <w14:textFill>
            <w14:solidFill>
              <w14:schemeClr w14:val="tx1"/>
            </w14:solidFill>
          </w14:textFill>
        </w:rPr>
        <w:t>.3监测点位布设</w:t>
      </w:r>
      <w:bookmarkEnd w:id="4"/>
      <w:bookmarkEnd w:id="5"/>
    </w:p>
    <w:p>
      <w:pPr>
        <w:pStyle w:val="3"/>
        <w:rPr>
          <w:rFonts w:eastAsia="黑体"/>
          <w:color w:val="000000" w:themeColor="text1"/>
          <w:sz w:val="30"/>
          <w:szCs w:val="30"/>
          <w14:textFill>
            <w14:solidFill>
              <w14:schemeClr w14:val="tx1"/>
            </w14:solidFill>
          </w14:textFill>
        </w:rPr>
      </w:pPr>
      <w:bookmarkStart w:id="6" w:name="_Toc10536569"/>
      <w:bookmarkStart w:id="7" w:name="_Toc10535133"/>
      <w:r>
        <w:rPr>
          <w:rFonts w:hint="eastAsia" w:eastAsia="黑体"/>
          <w:color w:val="000000" w:themeColor="text1"/>
          <w:sz w:val="30"/>
          <w:szCs w:val="30"/>
          <w14:textFill>
            <w14:solidFill>
              <w14:schemeClr w14:val="tx1"/>
            </w14:solidFill>
          </w14:textFill>
        </w:rPr>
        <w:t>1</w:t>
      </w:r>
      <w:r>
        <w:rPr>
          <w:rFonts w:eastAsia="黑体"/>
          <w:color w:val="000000" w:themeColor="text1"/>
          <w:sz w:val="30"/>
          <w:szCs w:val="30"/>
          <w14:textFill>
            <w14:solidFill>
              <w14:schemeClr w14:val="tx1"/>
            </w14:solidFill>
          </w14:textFill>
        </w:rPr>
        <w:t>.3.1布点原则</w:t>
      </w:r>
      <w:bookmarkEnd w:id="6"/>
      <w:bookmarkEnd w:id="7"/>
    </w:p>
    <w:p>
      <w:pPr>
        <w:spacing w:line="360" w:lineRule="auto"/>
        <w:ind w:firstLine="480" w:firstLineChars="200"/>
        <w:rPr>
          <w:color w:val="000000"/>
          <w:sz w:val="24"/>
        </w:rPr>
      </w:pPr>
      <w:r>
        <w:rPr>
          <w:rFonts w:hint="eastAsia" w:ascii="宋体" w:hAnsi="宋体" w:cs="宋体"/>
          <w:color w:val="000000"/>
          <w:sz w:val="24"/>
        </w:rPr>
        <w:t>①</w:t>
      </w:r>
      <w:r>
        <w:rPr>
          <w:color w:val="000000"/>
          <w:sz w:val="24"/>
        </w:rPr>
        <w:t>每个重点区域周边至少布设1-2个土壤监测点。</w:t>
      </w:r>
    </w:p>
    <w:p>
      <w:pPr>
        <w:spacing w:line="360" w:lineRule="auto"/>
        <w:ind w:firstLine="480" w:firstLineChars="200"/>
        <w:rPr>
          <w:color w:val="000000"/>
          <w:sz w:val="24"/>
        </w:rPr>
      </w:pPr>
      <w:r>
        <w:rPr>
          <w:rFonts w:hint="eastAsia" w:ascii="宋体" w:hAnsi="宋体" w:cs="宋体"/>
          <w:color w:val="000000"/>
          <w:sz w:val="24"/>
        </w:rPr>
        <w:t>②</w:t>
      </w:r>
      <w:r>
        <w:rPr>
          <w:color w:val="000000"/>
          <w:sz w:val="24"/>
        </w:rPr>
        <w:t>自行监测点的布设应参照厂区内重点设施和重点区域的位置，优先布设在重点设施和重点区域的周边并尽量接近重点设施和重点区域。</w:t>
      </w:r>
    </w:p>
    <w:p>
      <w:pPr>
        <w:spacing w:line="360" w:lineRule="auto"/>
        <w:ind w:firstLine="480" w:firstLineChars="200"/>
        <w:rPr>
          <w:color w:val="000000"/>
          <w:sz w:val="24"/>
        </w:rPr>
      </w:pPr>
      <w:r>
        <w:rPr>
          <w:rFonts w:hint="eastAsia" w:ascii="宋体" w:hAnsi="宋体" w:cs="宋体"/>
          <w:color w:val="000000"/>
          <w:sz w:val="24"/>
        </w:rPr>
        <w:t>③</w:t>
      </w:r>
      <w:r>
        <w:rPr>
          <w:color w:val="000000"/>
          <w:sz w:val="24"/>
        </w:rPr>
        <w:t>重点设施数量较多的企业可根据重点区域内部重点设施的分布情况，统筹规划重点区域内部自行监测点的布设，布设位置应尽量接近重点区域内污染隐患较大的重点设施。</w:t>
      </w:r>
    </w:p>
    <w:p>
      <w:pPr>
        <w:spacing w:line="360" w:lineRule="auto"/>
        <w:ind w:firstLine="480" w:firstLineChars="200"/>
        <w:rPr>
          <w:color w:val="000000"/>
          <w:sz w:val="24"/>
        </w:rPr>
      </w:pPr>
      <w:r>
        <w:rPr>
          <w:rFonts w:hint="eastAsia" w:ascii="宋体" w:hAnsi="宋体" w:cs="宋体"/>
          <w:color w:val="000000"/>
          <w:sz w:val="24"/>
        </w:rPr>
        <w:t>④</w:t>
      </w:r>
      <w:r>
        <w:rPr>
          <w:color w:val="000000"/>
          <w:sz w:val="24"/>
        </w:rPr>
        <w:t>监测点的布设需符合实际情况，应遵循不影响企业正常生产且不造成安全隐患与二次污染的原则。若上述选定的布点位置现场不具备采样条件，则在污染物迁移的下游方法就近选择布点位置。</w:t>
      </w:r>
    </w:p>
    <w:p>
      <w:pPr>
        <w:pStyle w:val="3"/>
        <w:rPr>
          <w:rFonts w:eastAsia="黑体"/>
          <w:color w:val="000000" w:themeColor="text1"/>
          <w:sz w:val="30"/>
          <w:szCs w:val="30"/>
          <w14:textFill>
            <w14:solidFill>
              <w14:schemeClr w14:val="tx1"/>
            </w14:solidFill>
          </w14:textFill>
        </w:rPr>
      </w:pPr>
      <w:bookmarkStart w:id="8" w:name="_Toc10535134"/>
      <w:bookmarkStart w:id="9" w:name="_Toc10536570"/>
      <w:r>
        <w:rPr>
          <w:rFonts w:hint="eastAsia" w:eastAsia="黑体"/>
          <w:color w:val="000000" w:themeColor="text1"/>
          <w:sz w:val="30"/>
          <w:szCs w:val="30"/>
          <w14:textFill>
            <w14:solidFill>
              <w14:schemeClr w14:val="tx1"/>
            </w14:solidFill>
          </w14:textFill>
        </w:rPr>
        <w:t>1</w:t>
      </w:r>
      <w:r>
        <w:rPr>
          <w:rFonts w:eastAsia="黑体"/>
          <w:color w:val="000000" w:themeColor="text1"/>
          <w:sz w:val="30"/>
          <w:szCs w:val="30"/>
          <w14:textFill>
            <w14:solidFill>
              <w14:schemeClr w14:val="tx1"/>
            </w14:solidFill>
          </w14:textFill>
        </w:rPr>
        <w:t>.3.2布点方案</w:t>
      </w:r>
      <w:bookmarkEnd w:id="8"/>
      <w:bookmarkEnd w:id="9"/>
    </w:p>
    <w:p>
      <w:pPr>
        <w:spacing w:line="360" w:lineRule="auto"/>
        <w:ind w:firstLine="480" w:firstLineChars="200"/>
        <w:rPr>
          <w:color w:val="000000"/>
          <w:sz w:val="24"/>
        </w:rPr>
      </w:pPr>
      <w:r>
        <w:rPr>
          <w:color w:val="000000"/>
          <w:sz w:val="24"/>
        </w:rPr>
        <w:t>综合考虑潍坊华奥焦化有限公司重点区域位置、各类设施、雨污水管网等的分布范围情况，参照《在产企业土壤及地下水自行监测技术指南（征求意见稿）》（环办标征函[2018]50号）、</w:t>
      </w:r>
      <w:r>
        <w:rPr>
          <w:sz w:val="24"/>
        </w:rPr>
        <w:t xml:space="preserve">《土壤环境质量 </w:t>
      </w:r>
      <w:r>
        <w:rPr>
          <w:color w:val="000000"/>
          <w:sz w:val="24"/>
        </w:rPr>
        <w:t>建设用地土壤污染风险管控标准（试行）》（GB 36600-2018）、《土壤环境监测技术规范》（HJ/T 166-2004）和潍坊华奥焦化有限公司土壤污染及隐患排查整改报告编制技术协议等的规定，编制布点方案。</w:t>
      </w:r>
    </w:p>
    <w:p>
      <w:pPr>
        <w:spacing w:line="360" w:lineRule="auto"/>
        <w:ind w:firstLine="480" w:firstLineChars="200"/>
        <w:rPr>
          <w:color w:val="000000"/>
          <w:sz w:val="24"/>
        </w:rPr>
      </w:pPr>
      <w:r>
        <w:rPr>
          <w:sz w:val="24"/>
        </w:rPr>
        <w:t>采用专业判断布点法，考虑实际情况，选择在装置区附近的未硬化区域进行设定，</w:t>
      </w:r>
      <w:r>
        <w:rPr>
          <w:rFonts w:hint="eastAsia"/>
          <w:sz w:val="24"/>
        </w:rPr>
        <w:t>涵盖重要生产区、原材料与废物堆存区、储放区、转运区、污染治理设施等。</w:t>
      </w:r>
      <w:r>
        <w:rPr>
          <w:sz w:val="24"/>
        </w:rPr>
        <w:t>在企</w:t>
      </w:r>
      <w:r>
        <w:rPr>
          <w:color w:val="000000"/>
          <w:sz w:val="24"/>
        </w:rPr>
        <w:t>业内部布设</w:t>
      </w:r>
      <w:r>
        <w:rPr>
          <w:rFonts w:hint="eastAsia"/>
          <w:color w:val="000000"/>
          <w:sz w:val="24"/>
        </w:rPr>
        <w:t>7</w:t>
      </w:r>
      <w:r>
        <w:rPr>
          <w:color w:val="000000"/>
          <w:sz w:val="24"/>
        </w:rPr>
        <w:t>个土壤采样点，包括焦炉工段、除焦油工段（冷凝工段）、生产硫铵工段（硫铵生产工段）、粗苯生产工段、储罐区、污水处理站、废油暂存区（水处理隔油区）共</w:t>
      </w:r>
      <w:r>
        <w:rPr>
          <w:rFonts w:hint="eastAsia"/>
          <w:color w:val="000000"/>
          <w:sz w:val="24"/>
        </w:rPr>
        <w:t>7</w:t>
      </w:r>
      <w:r>
        <w:rPr>
          <w:color w:val="000000"/>
          <w:sz w:val="24"/>
        </w:rPr>
        <w:t>点位，检测布点见表</w:t>
      </w:r>
      <w:r>
        <w:rPr>
          <w:rFonts w:hint="eastAsia"/>
          <w:color w:val="000000"/>
          <w:sz w:val="24"/>
        </w:rPr>
        <w:t>1</w:t>
      </w:r>
      <w:r>
        <w:rPr>
          <w:color w:val="000000"/>
          <w:sz w:val="24"/>
        </w:rPr>
        <w:t>-1、图</w:t>
      </w:r>
      <w:r>
        <w:rPr>
          <w:rFonts w:hint="eastAsia"/>
          <w:color w:val="000000"/>
          <w:sz w:val="24"/>
        </w:rPr>
        <w:t>1</w:t>
      </w:r>
      <w:r>
        <w:rPr>
          <w:color w:val="000000"/>
          <w:sz w:val="24"/>
        </w:rPr>
        <w:t>-1（a）和图</w:t>
      </w:r>
      <w:r>
        <w:rPr>
          <w:rFonts w:hint="eastAsia"/>
          <w:color w:val="000000"/>
          <w:sz w:val="24"/>
        </w:rPr>
        <w:t>1</w:t>
      </w:r>
      <w:r>
        <w:rPr>
          <w:color w:val="000000"/>
          <w:sz w:val="24"/>
        </w:rPr>
        <w:t>-1（b）</w:t>
      </w:r>
      <w:r>
        <w:rPr>
          <w:kern w:val="0"/>
          <w:sz w:val="24"/>
        </w:rPr>
        <w:t>。</w:t>
      </w:r>
    </w:p>
    <w:p>
      <w:pPr>
        <w:spacing w:line="360" w:lineRule="auto"/>
        <w:ind w:firstLine="480" w:firstLineChars="200"/>
        <w:rPr>
          <w:color w:val="000000"/>
          <w:sz w:val="24"/>
        </w:rPr>
      </w:pPr>
      <w:r>
        <w:rPr>
          <w:color w:val="000000"/>
          <w:sz w:val="24"/>
        </w:rPr>
        <w:t>检测项目为：</w:t>
      </w:r>
      <w:r>
        <w:rPr>
          <w:rFonts w:hint="eastAsia"/>
          <w:color w:val="000000"/>
          <w:sz w:val="24"/>
        </w:rPr>
        <w:t>pH值、砷、镉、铬（六价）、铜、铅、汞、镍、四氯化碳、氯仿、氯甲烷、1,1-二氯乙烷、1,2-二氯乙烷、1,1-二氯乙烯、顺-1,2,-二氯乙烯、反-1,2-二氯乙烯、二氯甲烷、1,2-二氯丙烷、1,1,1,2-四氯乙烷、1,1,2,2-四氯乙烷、四氯乙烯、1,1,1-三氯乙烷、1,1,2-三氯 乙 烷、三氯乙烯、1,2,3-三氯丙烷、氯乙烯、苯、氯苯、1,2-二氯苯、1,4-二氯苯、 乙苯、苯乙烯、甲苯、间二甲苯+对二甲苯、邻二甲苯、硝基苯、苯胺、2-氯酚、苯并[a]蒽、苯并[a]芘、苯并[b]荧蒽、苯并</w:t>
      </w:r>
      <w:r>
        <w:rPr>
          <w:color w:val="000000"/>
          <w:sz w:val="24"/>
        </w:rPr>
        <w:t>[k]</w:t>
      </w:r>
      <w:r>
        <w:rPr>
          <w:rFonts w:hint="eastAsia"/>
          <w:color w:val="000000"/>
          <w:sz w:val="24"/>
        </w:rPr>
        <w:t>荧蒽、䓛、二苯并</w:t>
      </w:r>
      <w:r>
        <w:rPr>
          <w:color w:val="000000"/>
          <w:sz w:val="24"/>
        </w:rPr>
        <w:t>[a,h]</w:t>
      </w:r>
      <w:r>
        <w:rPr>
          <w:rFonts w:hint="eastAsia"/>
          <w:color w:val="000000"/>
          <w:sz w:val="24"/>
        </w:rPr>
        <w:t>蒽、茚并</w:t>
      </w:r>
      <w:r>
        <w:rPr>
          <w:color w:val="000000"/>
          <w:sz w:val="24"/>
        </w:rPr>
        <w:t>[1,2,3-cd]</w:t>
      </w:r>
      <w:r>
        <w:rPr>
          <w:rFonts w:hint="eastAsia"/>
          <w:color w:val="000000"/>
          <w:sz w:val="24"/>
        </w:rPr>
        <w:t>芘、萘、石油烃（</w:t>
      </w:r>
      <w:r>
        <w:rPr>
          <w:color w:val="000000"/>
          <w:sz w:val="24"/>
        </w:rPr>
        <w:t>C10-C40</w:t>
      </w:r>
      <w:r>
        <w:rPr>
          <w:rFonts w:hint="eastAsia"/>
          <w:color w:val="000000"/>
          <w:sz w:val="24"/>
        </w:rPr>
        <w:t>）、氰化物、苯酚、氟化物</w:t>
      </w:r>
      <w:r>
        <w:rPr>
          <w:kern w:val="0"/>
          <w:sz w:val="24"/>
        </w:rPr>
        <w:t>。</w:t>
      </w:r>
    </w:p>
    <w:p>
      <w:pPr>
        <w:tabs>
          <w:tab w:val="left" w:pos="1580"/>
        </w:tabs>
        <w:adjustRightInd w:val="0"/>
        <w:snapToGrid w:val="0"/>
        <w:jc w:val="center"/>
        <w:rPr>
          <w:b/>
          <w:bCs/>
          <w:color w:val="000000"/>
          <w:sz w:val="24"/>
        </w:rPr>
      </w:pPr>
      <w:r>
        <w:rPr>
          <w:b/>
          <w:bCs/>
          <w:color w:val="000000"/>
          <w:sz w:val="24"/>
        </w:rPr>
        <w:t>表</w:t>
      </w:r>
      <w:r>
        <w:rPr>
          <w:rFonts w:hint="eastAsia"/>
          <w:b/>
          <w:bCs/>
          <w:color w:val="000000"/>
          <w:sz w:val="24"/>
        </w:rPr>
        <w:t>1</w:t>
      </w:r>
      <w:r>
        <w:rPr>
          <w:b/>
          <w:bCs/>
          <w:color w:val="000000"/>
          <w:sz w:val="24"/>
        </w:rPr>
        <w:t>-1   检测布点</w:t>
      </w:r>
    </w:p>
    <w:tbl>
      <w:tblPr>
        <w:tblStyle w:val="7"/>
        <w:tblW w:w="791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08"/>
        <w:gridCol w:w="2645"/>
        <w:gridCol w:w="1842"/>
        <w:gridCol w:w="182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tblHeader/>
          <w:jc w:val="center"/>
        </w:trPr>
        <w:tc>
          <w:tcPr>
            <w:tcW w:w="1608" w:type="dxa"/>
            <w:vMerge w:val="restart"/>
            <w:tcBorders>
              <w:top w:val="single" w:color="auto" w:sz="12" w:space="0"/>
              <w:left w:val="nil"/>
              <w:right w:val="dotted" w:color="auto" w:sz="4" w:space="0"/>
            </w:tcBorders>
            <w:vAlign w:val="center"/>
          </w:tcPr>
          <w:p>
            <w:pPr>
              <w:spacing w:line="320" w:lineRule="exact"/>
              <w:jc w:val="center"/>
              <w:rPr>
                <w:b/>
                <w:bCs/>
              </w:rPr>
            </w:pPr>
            <w:r>
              <w:rPr>
                <w:b/>
                <w:bCs/>
              </w:rPr>
              <w:t>监测点编号</w:t>
            </w:r>
          </w:p>
        </w:tc>
        <w:tc>
          <w:tcPr>
            <w:tcW w:w="2645" w:type="dxa"/>
            <w:vMerge w:val="restart"/>
            <w:tcBorders>
              <w:top w:val="single" w:color="auto" w:sz="12" w:space="0"/>
              <w:left w:val="dotted" w:color="auto" w:sz="4" w:space="0"/>
              <w:right w:val="nil"/>
            </w:tcBorders>
            <w:vAlign w:val="center"/>
          </w:tcPr>
          <w:p>
            <w:pPr>
              <w:spacing w:line="320" w:lineRule="exact"/>
              <w:jc w:val="center"/>
              <w:rPr>
                <w:b/>
                <w:bCs/>
              </w:rPr>
            </w:pPr>
            <w:r>
              <w:rPr>
                <w:b/>
                <w:bCs/>
              </w:rPr>
              <w:t>点位描述</w:t>
            </w:r>
          </w:p>
        </w:tc>
        <w:tc>
          <w:tcPr>
            <w:tcW w:w="3662" w:type="dxa"/>
            <w:gridSpan w:val="2"/>
            <w:tcBorders>
              <w:top w:val="single" w:color="auto" w:sz="12" w:space="0"/>
              <w:left w:val="dotted" w:color="auto" w:sz="4" w:space="0"/>
              <w:bottom w:val="dotted" w:color="auto" w:sz="4" w:space="0"/>
              <w:right w:val="nil"/>
            </w:tcBorders>
            <w:vAlign w:val="center"/>
          </w:tcPr>
          <w:p>
            <w:pPr>
              <w:spacing w:line="320" w:lineRule="exact"/>
              <w:jc w:val="center"/>
              <w:rPr>
                <w:b/>
                <w:bCs/>
              </w:rPr>
            </w:pPr>
            <w:r>
              <w:rPr>
                <w:b/>
                <w:bCs/>
              </w:rPr>
              <w:t>位置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tblHeader/>
          <w:jc w:val="center"/>
        </w:trPr>
        <w:tc>
          <w:tcPr>
            <w:tcW w:w="1608" w:type="dxa"/>
            <w:vMerge w:val="continue"/>
            <w:tcBorders>
              <w:left w:val="nil"/>
              <w:bottom w:val="single" w:color="auto" w:sz="12" w:space="0"/>
              <w:right w:val="dotted" w:color="auto" w:sz="4" w:space="0"/>
            </w:tcBorders>
            <w:vAlign w:val="center"/>
          </w:tcPr>
          <w:p>
            <w:pPr>
              <w:spacing w:line="320" w:lineRule="exact"/>
              <w:jc w:val="center"/>
              <w:rPr>
                <w:b/>
                <w:bCs/>
              </w:rPr>
            </w:pPr>
          </w:p>
        </w:tc>
        <w:tc>
          <w:tcPr>
            <w:tcW w:w="2645" w:type="dxa"/>
            <w:vMerge w:val="continue"/>
            <w:tcBorders>
              <w:left w:val="dotted" w:color="auto" w:sz="4" w:space="0"/>
              <w:bottom w:val="single" w:color="auto" w:sz="12" w:space="0"/>
              <w:right w:val="nil"/>
            </w:tcBorders>
            <w:vAlign w:val="center"/>
          </w:tcPr>
          <w:p>
            <w:pPr>
              <w:spacing w:line="320" w:lineRule="exact"/>
              <w:jc w:val="center"/>
              <w:rPr>
                <w:b/>
                <w:bCs/>
              </w:rPr>
            </w:pPr>
          </w:p>
        </w:tc>
        <w:tc>
          <w:tcPr>
            <w:tcW w:w="1842" w:type="dxa"/>
            <w:tcBorders>
              <w:top w:val="dotted" w:color="auto" w:sz="4" w:space="0"/>
              <w:left w:val="dotted" w:color="auto" w:sz="4" w:space="0"/>
              <w:bottom w:val="single" w:color="auto" w:sz="12" w:space="0"/>
              <w:right w:val="nil"/>
            </w:tcBorders>
            <w:vAlign w:val="center"/>
          </w:tcPr>
          <w:p>
            <w:pPr>
              <w:spacing w:line="320" w:lineRule="exact"/>
              <w:jc w:val="center"/>
              <w:rPr>
                <w:b/>
                <w:bCs/>
              </w:rPr>
            </w:pPr>
            <w:r>
              <w:rPr>
                <w:b/>
                <w:bCs/>
              </w:rPr>
              <w:t>经度</w:t>
            </w:r>
          </w:p>
        </w:tc>
        <w:tc>
          <w:tcPr>
            <w:tcW w:w="1820" w:type="dxa"/>
            <w:tcBorders>
              <w:top w:val="dotted" w:color="auto" w:sz="4" w:space="0"/>
              <w:left w:val="dotted" w:color="auto" w:sz="4" w:space="0"/>
              <w:bottom w:val="single" w:color="auto" w:sz="12" w:space="0"/>
              <w:right w:val="nil"/>
            </w:tcBorders>
            <w:vAlign w:val="center"/>
          </w:tcPr>
          <w:p>
            <w:pPr>
              <w:spacing w:line="320" w:lineRule="exact"/>
              <w:jc w:val="center"/>
              <w:rPr>
                <w:b/>
                <w:bCs/>
              </w:rPr>
            </w:pPr>
            <w:r>
              <w:rPr>
                <w:b/>
                <w:bCs/>
              </w:rPr>
              <w:t>纬度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1608" w:type="dxa"/>
            <w:tcBorders>
              <w:top w:val="single" w:color="auto" w:sz="12" w:space="0"/>
              <w:left w:val="nil"/>
              <w:bottom w:val="dotted" w:color="auto" w:sz="4" w:space="0"/>
              <w:right w:val="dotted" w:color="auto" w:sz="4" w:space="0"/>
            </w:tcBorders>
            <w:vAlign w:val="center"/>
          </w:tcPr>
          <w:p>
            <w:pPr>
              <w:spacing w:line="360" w:lineRule="auto"/>
              <w:jc w:val="center"/>
            </w:pPr>
            <w:r>
              <w:t>1#</w:t>
            </w:r>
          </w:p>
        </w:tc>
        <w:tc>
          <w:tcPr>
            <w:tcW w:w="2645" w:type="dxa"/>
            <w:tcBorders>
              <w:top w:val="single" w:color="auto" w:sz="12" w:space="0"/>
              <w:left w:val="dotted" w:color="auto" w:sz="4" w:space="0"/>
              <w:bottom w:val="dotted" w:color="auto" w:sz="4" w:space="0"/>
              <w:right w:val="nil"/>
            </w:tcBorders>
            <w:vAlign w:val="center"/>
          </w:tcPr>
          <w:p>
            <w:pPr>
              <w:spacing w:line="360" w:lineRule="auto"/>
              <w:jc w:val="center"/>
            </w:pPr>
            <w:r>
              <w:t>污水处理站</w:t>
            </w:r>
          </w:p>
        </w:tc>
        <w:tc>
          <w:tcPr>
            <w:tcW w:w="1842" w:type="dxa"/>
            <w:tcBorders>
              <w:top w:val="single" w:color="auto" w:sz="12" w:space="0"/>
              <w:left w:val="dotted" w:color="auto" w:sz="4" w:space="0"/>
              <w:bottom w:val="dotted" w:color="auto" w:sz="4" w:space="0"/>
              <w:right w:val="nil"/>
            </w:tcBorders>
            <w:vAlign w:val="center"/>
          </w:tcPr>
          <w:p>
            <w:pPr>
              <w:jc w:val="center"/>
              <w:rPr>
                <w:color w:val="000000"/>
              </w:rPr>
            </w:pPr>
            <w:r>
              <w:rPr>
                <w:rFonts w:hint="eastAsia"/>
                <w:color w:val="000000"/>
              </w:rPr>
              <w:t>119.232763800</w:t>
            </w:r>
          </w:p>
        </w:tc>
        <w:tc>
          <w:tcPr>
            <w:tcW w:w="1820" w:type="dxa"/>
            <w:tcBorders>
              <w:top w:val="single" w:color="auto" w:sz="12" w:space="0"/>
              <w:left w:val="dotted" w:color="auto" w:sz="4" w:space="0"/>
              <w:bottom w:val="dotted" w:color="auto" w:sz="4" w:space="0"/>
              <w:right w:val="nil"/>
            </w:tcBorders>
            <w:vAlign w:val="center"/>
          </w:tcPr>
          <w:p>
            <w:pPr>
              <w:jc w:val="center"/>
              <w:rPr>
                <w:color w:val="000000"/>
              </w:rPr>
            </w:pPr>
            <w:r>
              <w:rPr>
                <w:rFonts w:hint="eastAsia"/>
                <w:color w:val="000000"/>
              </w:rPr>
              <w:t>36.642310000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1608" w:type="dxa"/>
            <w:tcBorders>
              <w:top w:val="dotted" w:color="auto" w:sz="4" w:space="0"/>
              <w:left w:val="nil"/>
              <w:bottom w:val="dotted" w:color="auto" w:sz="4" w:space="0"/>
              <w:right w:val="dotted" w:color="auto" w:sz="4" w:space="0"/>
            </w:tcBorders>
            <w:vAlign w:val="center"/>
          </w:tcPr>
          <w:p>
            <w:pPr>
              <w:jc w:val="center"/>
            </w:pPr>
            <w:r>
              <w:t>2#</w:t>
            </w:r>
          </w:p>
        </w:tc>
        <w:tc>
          <w:tcPr>
            <w:tcW w:w="2645" w:type="dxa"/>
            <w:tcBorders>
              <w:top w:val="dotted" w:color="auto" w:sz="4" w:space="0"/>
              <w:left w:val="dotted" w:color="auto" w:sz="4" w:space="0"/>
              <w:bottom w:val="dotted" w:color="auto" w:sz="4" w:space="0"/>
              <w:right w:val="nil"/>
            </w:tcBorders>
            <w:vAlign w:val="center"/>
          </w:tcPr>
          <w:p>
            <w:pPr>
              <w:spacing w:line="360" w:lineRule="auto"/>
              <w:jc w:val="center"/>
            </w:pPr>
            <w:r>
              <w:t>水处理隔油区</w:t>
            </w:r>
          </w:p>
        </w:tc>
        <w:tc>
          <w:tcPr>
            <w:tcW w:w="1842" w:type="dxa"/>
            <w:tcBorders>
              <w:top w:val="dotted" w:color="auto" w:sz="4" w:space="0"/>
              <w:left w:val="dotted" w:color="auto" w:sz="4" w:space="0"/>
              <w:bottom w:val="dotted" w:color="auto" w:sz="4" w:space="0"/>
              <w:right w:val="nil"/>
            </w:tcBorders>
            <w:vAlign w:val="center"/>
          </w:tcPr>
          <w:p>
            <w:pPr>
              <w:jc w:val="center"/>
              <w:rPr>
                <w:color w:val="000000"/>
              </w:rPr>
            </w:pPr>
            <w:r>
              <w:rPr>
                <w:rFonts w:hint="eastAsia"/>
                <w:color w:val="000000"/>
              </w:rPr>
              <w:t>119.231950000</w:t>
            </w:r>
          </w:p>
        </w:tc>
        <w:tc>
          <w:tcPr>
            <w:tcW w:w="1820" w:type="dxa"/>
            <w:tcBorders>
              <w:top w:val="dotted" w:color="auto" w:sz="4" w:space="0"/>
              <w:left w:val="dotted" w:color="auto" w:sz="4" w:space="0"/>
              <w:bottom w:val="dotted" w:color="auto" w:sz="4" w:space="0"/>
              <w:right w:val="nil"/>
            </w:tcBorders>
            <w:vAlign w:val="center"/>
          </w:tcPr>
          <w:p>
            <w:pPr>
              <w:jc w:val="center"/>
              <w:rPr>
                <w:color w:val="000000"/>
              </w:rPr>
            </w:pPr>
            <w:r>
              <w:rPr>
                <w:rFonts w:hint="eastAsia"/>
                <w:color w:val="000000"/>
              </w:rPr>
              <w:t>36.642658300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1608" w:type="dxa"/>
            <w:tcBorders>
              <w:top w:val="dotted" w:color="auto" w:sz="4" w:space="0"/>
              <w:left w:val="nil"/>
              <w:bottom w:val="dotted" w:color="auto" w:sz="4" w:space="0"/>
              <w:right w:val="dotted" w:color="auto" w:sz="4" w:space="0"/>
            </w:tcBorders>
            <w:vAlign w:val="center"/>
          </w:tcPr>
          <w:p>
            <w:pPr>
              <w:jc w:val="center"/>
            </w:pPr>
            <w:r>
              <w:t>3#</w:t>
            </w:r>
          </w:p>
        </w:tc>
        <w:tc>
          <w:tcPr>
            <w:tcW w:w="2645" w:type="dxa"/>
            <w:tcBorders>
              <w:top w:val="dotted" w:color="auto" w:sz="4" w:space="0"/>
              <w:left w:val="dotted" w:color="auto" w:sz="4" w:space="0"/>
              <w:bottom w:val="dotted" w:color="auto" w:sz="4" w:space="0"/>
              <w:right w:val="nil"/>
            </w:tcBorders>
            <w:vAlign w:val="center"/>
          </w:tcPr>
          <w:p>
            <w:pPr>
              <w:spacing w:line="360" w:lineRule="auto"/>
              <w:jc w:val="center"/>
            </w:pPr>
            <w:r>
              <w:t>粗苯生产工段</w:t>
            </w:r>
          </w:p>
        </w:tc>
        <w:tc>
          <w:tcPr>
            <w:tcW w:w="1842" w:type="dxa"/>
            <w:tcBorders>
              <w:top w:val="dotted" w:color="auto" w:sz="4" w:space="0"/>
              <w:left w:val="dotted" w:color="auto" w:sz="4" w:space="0"/>
              <w:bottom w:val="dotted" w:color="auto" w:sz="4" w:space="0"/>
              <w:right w:val="nil"/>
            </w:tcBorders>
            <w:vAlign w:val="center"/>
          </w:tcPr>
          <w:p>
            <w:pPr>
              <w:jc w:val="center"/>
              <w:rPr>
                <w:color w:val="000000"/>
              </w:rPr>
            </w:pPr>
            <w:r>
              <w:rPr>
                <w:rFonts w:hint="eastAsia"/>
                <w:color w:val="000000"/>
              </w:rPr>
              <w:t>119.233725000</w:t>
            </w:r>
          </w:p>
        </w:tc>
        <w:tc>
          <w:tcPr>
            <w:tcW w:w="1820" w:type="dxa"/>
            <w:tcBorders>
              <w:top w:val="dotted" w:color="auto" w:sz="4" w:space="0"/>
              <w:left w:val="dotted" w:color="auto" w:sz="4" w:space="0"/>
              <w:bottom w:val="dotted" w:color="auto" w:sz="4" w:space="0"/>
              <w:right w:val="nil"/>
            </w:tcBorders>
            <w:vAlign w:val="center"/>
          </w:tcPr>
          <w:p>
            <w:pPr>
              <w:jc w:val="center"/>
              <w:rPr>
                <w:color w:val="000000"/>
              </w:rPr>
            </w:pPr>
            <w:r>
              <w:rPr>
                <w:rFonts w:hint="eastAsia"/>
                <w:color w:val="000000"/>
              </w:rPr>
              <w:t>36.643241600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1608" w:type="dxa"/>
            <w:tcBorders>
              <w:top w:val="dotted" w:color="auto" w:sz="4" w:space="0"/>
              <w:left w:val="nil"/>
              <w:bottom w:val="dotted" w:color="auto" w:sz="4" w:space="0"/>
              <w:right w:val="dotted" w:color="auto" w:sz="4" w:space="0"/>
            </w:tcBorders>
            <w:vAlign w:val="center"/>
          </w:tcPr>
          <w:p>
            <w:pPr>
              <w:jc w:val="center"/>
            </w:pPr>
            <w:r>
              <w:t>4#</w:t>
            </w:r>
          </w:p>
        </w:tc>
        <w:tc>
          <w:tcPr>
            <w:tcW w:w="2645" w:type="dxa"/>
            <w:tcBorders>
              <w:top w:val="dotted" w:color="auto" w:sz="4" w:space="0"/>
              <w:left w:val="dotted" w:color="auto" w:sz="4" w:space="0"/>
              <w:bottom w:val="dotted" w:color="auto" w:sz="4" w:space="0"/>
              <w:right w:val="nil"/>
            </w:tcBorders>
            <w:vAlign w:val="center"/>
          </w:tcPr>
          <w:p>
            <w:pPr>
              <w:spacing w:line="360" w:lineRule="auto"/>
              <w:jc w:val="center"/>
            </w:pPr>
            <w:r>
              <w:t>硫铵生产工段</w:t>
            </w:r>
          </w:p>
        </w:tc>
        <w:tc>
          <w:tcPr>
            <w:tcW w:w="1842" w:type="dxa"/>
            <w:tcBorders>
              <w:top w:val="dotted" w:color="auto" w:sz="4" w:space="0"/>
              <w:left w:val="dotted" w:color="auto" w:sz="4" w:space="0"/>
              <w:bottom w:val="dotted" w:color="auto" w:sz="4" w:space="0"/>
              <w:right w:val="nil"/>
            </w:tcBorders>
            <w:vAlign w:val="center"/>
          </w:tcPr>
          <w:p>
            <w:pPr>
              <w:jc w:val="center"/>
              <w:rPr>
                <w:color w:val="000000"/>
              </w:rPr>
            </w:pPr>
            <w:r>
              <w:rPr>
                <w:rFonts w:hint="eastAsia"/>
                <w:color w:val="000000"/>
              </w:rPr>
              <w:t>119.232069400</w:t>
            </w:r>
          </w:p>
        </w:tc>
        <w:tc>
          <w:tcPr>
            <w:tcW w:w="1820" w:type="dxa"/>
            <w:tcBorders>
              <w:top w:val="dotted" w:color="auto" w:sz="4" w:space="0"/>
              <w:left w:val="dotted" w:color="auto" w:sz="4" w:space="0"/>
              <w:bottom w:val="dotted" w:color="auto" w:sz="4" w:space="0"/>
              <w:right w:val="nil"/>
            </w:tcBorders>
            <w:vAlign w:val="center"/>
          </w:tcPr>
          <w:p>
            <w:pPr>
              <w:jc w:val="center"/>
              <w:rPr>
                <w:color w:val="000000"/>
              </w:rPr>
            </w:pPr>
            <w:r>
              <w:rPr>
                <w:rFonts w:hint="eastAsia"/>
                <w:color w:val="000000"/>
              </w:rPr>
              <w:t>36.643325000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1608" w:type="dxa"/>
            <w:tcBorders>
              <w:top w:val="dotted" w:color="auto" w:sz="4" w:space="0"/>
              <w:left w:val="nil"/>
              <w:bottom w:val="dotted" w:color="auto" w:sz="4" w:space="0"/>
              <w:right w:val="dotted" w:color="auto" w:sz="4" w:space="0"/>
            </w:tcBorders>
            <w:vAlign w:val="center"/>
          </w:tcPr>
          <w:p>
            <w:pPr>
              <w:jc w:val="center"/>
            </w:pPr>
            <w:r>
              <w:t>5#</w:t>
            </w:r>
          </w:p>
        </w:tc>
        <w:tc>
          <w:tcPr>
            <w:tcW w:w="2645" w:type="dxa"/>
            <w:tcBorders>
              <w:top w:val="dotted" w:color="auto" w:sz="4" w:space="0"/>
              <w:left w:val="dotted" w:color="auto" w:sz="4" w:space="0"/>
              <w:bottom w:val="dotted" w:color="auto" w:sz="4" w:space="0"/>
              <w:right w:val="nil"/>
            </w:tcBorders>
            <w:vAlign w:val="center"/>
          </w:tcPr>
          <w:p>
            <w:pPr>
              <w:spacing w:line="360" w:lineRule="auto"/>
              <w:jc w:val="center"/>
            </w:pPr>
            <w:r>
              <w:t>储罐区</w:t>
            </w:r>
          </w:p>
        </w:tc>
        <w:tc>
          <w:tcPr>
            <w:tcW w:w="1842" w:type="dxa"/>
            <w:tcBorders>
              <w:top w:val="dotted" w:color="auto" w:sz="4" w:space="0"/>
              <w:left w:val="dotted" w:color="auto" w:sz="4" w:space="0"/>
              <w:bottom w:val="dotted" w:color="auto" w:sz="4" w:space="0"/>
              <w:right w:val="nil"/>
            </w:tcBorders>
            <w:vAlign w:val="center"/>
          </w:tcPr>
          <w:p>
            <w:pPr>
              <w:jc w:val="center"/>
              <w:rPr>
                <w:color w:val="000000"/>
              </w:rPr>
            </w:pPr>
            <w:r>
              <w:rPr>
                <w:rFonts w:hint="eastAsia"/>
                <w:color w:val="000000"/>
              </w:rPr>
              <w:t>119.230713800</w:t>
            </w:r>
          </w:p>
        </w:tc>
        <w:tc>
          <w:tcPr>
            <w:tcW w:w="1820" w:type="dxa"/>
            <w:tcBorders>
              <w:top w:val="dotted" w:color="auto" w:sz="4" w:space="0"/>
              <w:left w:val="dotted" w:color="auto" w:sz="4" w:space="0"/>
              <w:bottom w:val="dotted" w:color="auto" w:sz="4" w:space="0"/>
              <w:right w:val="nil"/>
            </w:tcBorders>
            <w:vAlign w:val="center"/>
          </w:tcPr>
          <w:p>
            <w:pPr>
              <w:jc w:val="center"/>
              <w:rPr>
                <w:color w:val="000000"/>
              </w:rPr>
            </w:pPr>
            <w:r>
              <w:rPr>
                <w:rFonts w:hint="eastAsia"/>
                <w:color w:val="000000"/>
              </w:rPr>
              <w:t>36.643711000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1608" w:type="dxa"/>
            <w:tcBorders>
              <w:top w:val="dotted" w:color="auto" w:sz="4" w:space="0"/>
              <w:left w:val="nil"/>
              <w:bottom w:val="dotted" w:color="auto" w:sz="4" w:space="0"/>
              <w:right w:val="dotted" w:color="auto" w:sz="4" w:space="0"/>
            </w:tcBorders>
            <w:vAlign w:val="center"/>
          </w:tcPr>
          <w:p>
            <w:pPr>
              <w:jc w:val="center"/>
            </w:pPr>
            <w:r>
              <w:t>6#</w:t>
            </w:r>
          </w:p>
        </w:tc>
        <w:tc>
          <w:tcPr>
            <w:tcW w:w="2645" w:type="dxa"/>
            <w:tcBorders>
              <w:top w:val="dotted" w:color="auto" w:sz="4" w:space="0"/>
              <w:left w:val="dotted" w:color="auto" w:sz="4" w:space="0"/>
              <w:bottom w:val="dotted" w:color="auto" w:sz="4" w:space="0"/>
              <w:right w:val="nil"/>
            </w:tcBorders>
            <w:vAlign w:val="center"/>
          </w:tcPr>
          <w:p>
            <w:pPr>
              <w:spacing w:line="360" w:lineRule="auto"/>
              <w:jc w:val="center"/>
            </w:pPr>
            <w:r>
              <w:t>冷凝工段</w:t>
            </w:r>
          </w:p>
        </w:tc>
        <w:tc>
          <w:tcPr>
            <w:tcW w:w="1842" w:type="dxa"/>
            <w:tcBorders>
              <w:top w:val="dotted" w:color="auto" w:sz="4" w:space="0"/>
              <w:left w:val="dotted" w:color="auto" w:sz="4" w:space="0"/>
              <w:bottom w:val="dotted" w:color="auto" w:sz="4" w:space="0"/>
              <w:right w:val="nil"/>
            </w:tcBorders>
            <w:vAlign w:val="center"/>
          </w:tcPr>
          <w:p>
            <w:pPr>
              <w:jc w:val="center"/>
              <w:rPr>
                <w:color w:val="000000"/>
              </w:rPr>
            </w:pPr>
            <w:r>
              <w:rPr>
                <w:rFonts w:hint="eastAsia"/>
                <w:color w:val="000000"/>
              </w:rPr>
              <w:t>119.230441600</w:t>
            </w:r>
          </w:p>
        </w:tc>
        <w:tc>
          <w:tcPr>
            <w:tcW w:w="1820" w:type="dxa"/>
            <w:tcBorders>
              <w:top w:val="dotted" w:color="auto" w:sz="4" w:space="0"/>
              <w:left w:val="dotted" w:color="auto" w:sz="4" w:space="0"/>
              <w:bottom w:val="dotted" w:color="auto" w:sz="4" w:space="0"/>
              <w:right w:val="nil"/>
            </w:tcBorders>
            <w:vAlign w:val="center"/>
          </w:tcPr>
          <w:p>
            <w:pPr>
              <w:jc w:val="center"/>
              <w:rPr>
                <w:color w:val="000000"/>
              </w:rPr>
            </w:pPr>
            <w:r>
              <w:rPr>
                <w:rFonts w:hint="eastAsia"/>
                <w:color w:val="000000"/>
              </w:rPr>
              <w:t>36.644147200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1608" w:type="dxa"/>
            <w:tcBorders>
              <w:top w:val="dotted" w:color="auto" w:sz="4" w:space="0"/>
              <w:left w:val="nil"/>
              <w:bottom w:val="dotted" w:color="auto" w:sz="4" w:space="0"/>
              <w:right w:val="dotted" w:color="auto" w:sz="4" w:space="0"/>
            </w:tcBorders>
            <w:vAlign w:val="center"/>
          </w:tcPr>
          <w:p>
            <w:pPr>
              <w:jc w:val="center"/>
            </w:pPr>
            <w:r>
              <w:t>7#</w:t>
            </w:r>
          </w:p>
        </w:tc>
        <w:tc>
          <w:tcPr>
            <w:tcW w:w="2645" w:type="dxa"/>
            <w:tcBorders>
              <w:top w:val="dotted" w:color="auto" w:sz="4" w:space="0"/>
              <w:left w:val="dotted" w:color="auto" w:sz="4" w:space="0"/>
              <w:bottom w:val="dotted" w:color="auto" w:sz="4" w:space="0"/>
              <w:right w:val="nil"/>
            </w:tcBorders>
            <w:vAlign w:val="center"/>
          </w:tcPr>
          <w:p>
            <w:pPr>
              <w:spacing w:line="360" w:lineRule="auto"/>
              <w:jc w:val="center"/>
            </w:pPr>
            <w:r>
              <w:t>焦炉工段</w:t>
            </w:r>
          </w:p>
        </w:tc>
        <w:tc>
          <w:tcPr>
            <w:tcW w:w="1842" w:type="dxa"/>
            <w:tcBorders>
              <w:top w:val="dotted" w:color="auto" w:sz="4" w:space="0"/>
              <w:left w:val="dotted" w:color="auto" w:sz="4" w:space="0"/>
              <w:bottom w:val="dotted" w:color="auto" w:sz="4" w:space="0"/>
              <w:right w:val="nil"/>
            </w:tcBorders>
            <w:vAlign w:val="center"/>
          </w:tcPr>
          <w:p>
            <w:pPr>
              <w:jc w:val="center"/>
              <w:rPr>
                <w:color w:val="000000"/>
              </w:rPr>
            </w:pPr>
            <w:r>
              <w:rPr>
                <w:rFonts w:hint="eastAsia"/>
                <w:color w:val="000000"/>
              </w:rPr>
              <w:t>119.232836100</w:t>
            </w:r>
          </w:p>
        </w:tc>
        <w:tc>
          <w:tcPr>
            <w:tcW w:w="1820" w:type="dxa"/>
            <w:tcBorders>
              <w:top w:val="dotted" w:color="auto" w:sz="4" w:space="0"/>
              <w:left w:val="dotted" w:color="auto" w:sz="4" w:space="0"/>
              <w:bottom w:val="dotted" w:color="auto" w:sz="4" w:space="0"/>
              <w:right w:val="nil"/>
            </w:tcBorders>
            <w:vAlign w:val="center"/>
          </w:tcPr>
          <w:p>
            <w:pPr>
              <w:jc w:val="center"/>
              <w:rPr>
                <w:color w:val="000000"/>
              </w:rPr>
            </w:pPr>
            <w:r>
              <w:rPr>
                <w:rFonts w:hint="eastAsia"/>
                <w:color w:val="000000"/>
              </w:rPr>
              <w:t>36.645202700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7915" w:type="dxa"/>
            <w:gridSpan w:val="4"/>
            <w:tcBorders>
              <w:top w:val="dotted" w:color="auto" w:sz="4" w:space="0"/>
              <w:left w:val="nil"/>
              <w:bottom w:val="single" w:color="auto" w:sz="12" w:space="0"/>
              <w:right w:val="nil"/>
            </w:tcBorders>
            <w:vAlign w:val="center"/>
          </w:tcPr>
          <w:p>
            <w:pPr>
              <w:rPr>
                <w:color w:val="000000"/>
              </w:rPr>
            </w:pPr>
            <w:r>
              <w:rPr>
                <w:color w:val="000000"/>
              </w:rPr>
              <w:t>备注：本次土壤采样以表层土壤（</w:t>
            </w:r>
            <w:r>
              <w:t>0～20cm</w:t>
            </w:r>
            <w:r>
              <w:rPr>
                <w:color w:val="000000"/>
              </w:rPr>
              <w:t>）为重点采样层，开展采样工作。</w:t>
            </w:r>
          </w:p>
        </w:tc>
      </w:tr>
    </w:tbl>
    <w:p>
      <w:pPr>
        <w:spacing w:line="360" w:lineRule="auto"/>
        <w:ind w:firstLine="480" w:firstLineChars="200"/>
        <w:rPr>
          <w:color w:val="000000"/>
          <w:sz w:val="24"/>
        </w:rPr>
      </w:pPr>
    </w:p>
    <w:p>
      <w:pPr>
        <w:spacing w:line="360" w:lineRule="auto"/>
        <w:rPr>
          <w:color w:val="000000"/>
          <w:sz w:val="24"/>
        </w:rPr>
      </w:pPr>
    </w:p>
    <w:p>
      <w:pPr>
        <w:spacing w:line="360" w:lineRule="auto"/>
        <w:rPr>
          <w:color w:val="000000"/>
          <w:sz w:val="24"/>
        </w:rPr>
        <w:sectPr>
          <w:pgSz w:w="11906" w:h="16838"/>
          <w:pgMar w:top="1440" w:right="1800" w:bottom="1440" w:left="1800" w:header="851" w:footer="992" w:gutter="0"/>
          <w:cols w:space="425" w:num="1"/>
          <w:docGrid w:type="lines" w:linePitch="312" w:charSpace="0"/>
        </w:sectPr>
      </w:pPr>
      <w:bookmarkStart w:id="10" w:name="_GoBack"/>
      <w:bookmarkEnd w:id="10"/>
    </w:p>
    <w:p>
      <w:pPr>
        <w:spacing w:line="360" w:lineRule="auto"/>
        <w:ind w:firstLine="480" w:firstLineChars="200"/>
        <w:rPr>
          <w:color w:val="000000"/>
          <w:sz w:val="24"/>
        </w:rPr>
      </w:pPr>
      <w:r>
        <w:rPr>
          <w:rFonts w:hint="eastAsia"/>
          <w:color w:val="000000"/>
          <w:sz w:val="24"/>
        </w:rPr>
        <w:drawing>
          <wp:inline distT="0" distB="0" distL="114300" distR="114300">
            <wp:extent cx="8171180" cy="4832350"/>
            <wp:effectExtent l="0" t="0" r="1270" b="6350"/>
            <wp:docPr id="3" name="图片 3" descr="图片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1_副本"/>
                    <pic:cNvPicPr>
                      <a:picLocks noChangeAspect="1"/>
                    </pic:cNvPicPr>
                  </pic:nvPicPr>
                  <pic:blipFill>
                    <a:blip r:embed="rId4"/>
                    <a:stretch>
                      <a:fillRect/>
                    </a:stretch>
                  </pic:blipFill>
                  <pic:spPr>
                    <a:xfrm>
                      <a:off x="0" y="0"/>
                      <a:ext cx="8171180" cy="4832350"/>
                    </a:xfrm>
                    <a:prstGeom prst="rect">
                      <a:avLst/>
                    </a:prstGeom>
                  </pic:spPr>
                </pic:pic>
              </a:graphicData>
            </a:graphic>
          </wp:inline>
        </w:drawing>
      </w:r>
    </w:p>
    <w:p>
      <w:pPr>
        <w:spacing w:line="360" w:lineRule="auto"/>
        <w:jc w:val="center"/>
        <w:rPr>
          <w:color w:val="000000"/>
          <w:sz w:val="24"/>
        </w:rPr>
      </w:pPr>
      <w:r>
        <w:rPr>
          <w:color w:val="000000"/>
          <w:sz w:val="24"/>
        </w:rPr>
        <w:t>检测布点图</w:t>
      </w:r>
      <w:r>
        <w:rPr>
          <w:rFonts w:hint="eastAsia"/>
          <w:color w:val="000000"/>
          <w:sz w:val="24"/>
        </w:rPr>
        <w:t>1</w:t>
      </w:r>
      <w:r>
        <w:rPr>
          <w:color w:val="000000"/>
          <w:sz w:val="24"/>
        </w:rPr>
        <w:t>-1（a）</w:t>
      </w:r>
    </w:p>
    <w:p>
      <w:pPr>
        <w:spacing w:line="360" w:lineRule="auto"/>
        <w:ind w:firstLine="420" w:firstLineChars="200"/>
        <w:jc w:val="center"/>
        <w:rPr>
          <w:color w:val="000000"/>
          <w:sz w:val="24"/>
        </w:rPr>
      </w:pPr>
      <w:r>
        <w:drawing>
          <wp:inline distT="0" distB="0" distL="114300" distR="114300">
            <wp:extent cx="6299835" cy="4288790"/>
            <wp:effectExtent l="0" t="0" r="5715" b="1651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5"/>
                    <a:stretch>
                      <a:fillRect/>
                    </a:stretch>
                  </pic:blipFill>
                  <pic:spPr>
                    <a:xfrm>
                      <a:off x="0" y="0"/>
                      <a:ext cx="6299835" cy="4288790"/>
                    </a:xfrm>
                    <a:prstGeom prst="rect">
                      <a:avLst/>
                    </a:prstGeom>
                    <a:noFill/>
                    <a:ln>
                      <a:noFill/>
                    </a:ln>
                  </pic:spPr>
                </pic:pic>
              </a:graphicData>
            </a:graphic>
          </wp:inline>
        </w:drawing>
      </w:r>
    </w:p>
    <w:p>
      <w:pPr>
        <w:spacing w:line="360" w:lineRule="auto"/>
        <w:jc w:val="center"/>
        <w:rPr>
          <w:color w:val="000000"/>
          <w:sz w:val="24"/>
        </w:rPr>
      </w:pPr>
      <w:r>
        <w:rPr>
          <w:color w:val="000000"/>
          <w:sz w:val="24"/>
        </w:rPr>
        <w:t>检测布点图</w:t>
      </w:r>
      <w:r>
        <w:rPr>
          <w:rFonts w:hint="eastAsia"/>
          <w:color w:val="000000"/>
          <w:sz w:val="24"/>
        </w:rPr>
        <w:t>1</w:t>
      </w:r>
      <w:r>
        <w:rPr>
          <w:color w:val="000000"/>
          <w:sz w:val="24"/>
        </w:rPr>
        <w:t>-1（b）</w:t>
      </w:r>
    </w:p>
    <w:p>
      <w:pPr>
        <w:spacing w:line="360" w:lineRule="auto"/>
        <w:ind w:firstLine="480" w:firstLineChars="200"/>
        <w:jc w:val="center"/>
        <w:rPr>
          <w:color w:val="000000"/>
          <w:sz w:val="24"/>
        </w:rPr>
        <w:sectPr>
          <w:pgSz w:w="16838" w:h="11906" w:orient="landscape"/>
          <w:pgMar w:top="1800" w:right="1440" w:bottom="1800" w:left="1440" w:header="851" w:footer="992" w:gutter="0"/>
          <w:cols w:space="425" w:num="1"/>
          <w:docGrid w:type="lines" w:linePitch="312" w:charSpace="0"/>
        </w:sectPr>
      </w:pPr>
    </w:p>
    <w:p>
      <w:pPr>
        <w:jc w:val="center"/>
        <w:rPr>
          <w:b/>
          <w:sz w:val="32"/>
          <w:szCs w:val="32"/>
        </w:rPr>
      </w:pPr>
      <w:r>
        <w:rPr>
          <w:rFonts w:hint="eastAsia"/>
          <w:b/>
          <w:sz w:val="32"/>
          <w:szCs w:val="32"/>
        </w:rPr>
        <w:drawing>
          <wp:inline distT="0" distB="0" distL="114300" distR="114300">
            <wp:extent cx="5273675" cy="7337425"/>
            <wp:effectExtent l="0" t="0" r="3175" b="15875"/>
            <wp:docPr id="4" name="图片 4" descr="图片2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2_副本"/>
                    <pic:cNvPicPr>
                      <a:picLocks noChangeAspect="1"/>
                    </pic:cNvPicPr>
                  </pic:nvPicPr>
                  <pic:blipFill>
                    <a:blip r:embed="rId6"/>
                    <a:stretch>
                      <a:fillRect/>
                    </a:stretch>
                  </pic:blipFill>
                  <pic:spPr>
                    <a:xfrm>
                      <a:off x="0" y="0"/>
                      <a:ext cx="5273675" cy="7337425"/>
                    </a:xfrm>
                    <a:prstGeom prst="rect">
                      <a:avLst/>
                    </a:prstGeom>
                  </pic:spPr>
                </pic:pic>
              </a:graphicData>
            </a:graphic>
          </wp:inline>
        </w:drawing>
      </w:r>
    </w:p>
    <w:p>
      <w:pPr>
        <w:spacing w:line="360" w:lineRule="auto"/>
        <w:jc w:val="center"/>
        <w:rPr>
          <w:color w:val="000000"/>
          <w:sz w:val="24"/>
        </w:rPr>
      </w:pPr>
      <w:r>
        <w:rPr>
          <w:color w:val="000000"/>
          <w:sz w:val="24"/>
        </w:rPr>
        <w:t>检测布点图</w:t>
      </w:r>
      <w:r>
        <w:rPr>
          <w:rFonts w:hint="eastAsia"/>
          <w:color w:val="000000"/>
          <w:sz w:val="24"/>
        </w:rPr>
        <w:t>1</w:t>
      </w:r>
      <w:r>
        <w:rPr>
          <w:color w:val="000000"/>
          <w:sz w:val="24"/>
        </w:rPr>
        <w:t>-1（</w:t>
      </w:r>
      <w:r>
        <w:rPr>
          <w:rFonts w:hint="eastAsia"/>
          <w:color w:val="000000"/>
          <w:sz w:val="24"/>
        </w:rPr>
        <w:t>c）</w:t>
      </w:r>
    </w:p>
    <w:p>
      <w:pPr>
        <w:jc w:val="center"/>
        <w:rPr>
          <w:b/>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1F43"/>
    <w:rsid w:val="000E1F43"/>
    <w:rsid w:val="004D486D"/>
    <w:rsid w:val="004F4E6C"/>
    <w:rsid w:val="00AA4634"/>
    <w:rsid w:val="00D45A07"/>
    <w:rsid w:val="00E324E6"/>
    <w:rsid w:val="00E80505"/>
    <w:rsid w:val="3A0867D5"/>
    <w:rsid w:val="526D5A86"/>
    <w:rsid w:val="62712346"/>
    <w:rsid w:val="785F5022"/>
    <w:rsid w:val="7B1161CA"/>
    <w:rsid w:val="7B7D19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0"/>
    <w:pPr>
      <w:keepNext/>
      <w:keepLines/>
      <w:spacing w:before="260" w:after="260" w:line="413" w:lineRule="auto"/>
      <w:outlineLvl w:val="1"/>
    </w:pPr>
    <w:rPr>
      <w:rFonts w:ascii="Arial" w:hAnsi="Arial" w:eastAsia="黑体"/>
      <w:b/>
      <w:bCs/>
      <w:sz w:val="32"/>
      <w:szCs w:val="32"/>
    </w:rPr>
  </w:style>
  <w:style w:type="paragraph" w:styleId="3">
    <w:name w:val="heading 3"/>
    <w:basedOn w:val="1"/>
    <w:next w:val="1"/>
    <w:unhideWhenUsed/>
    <w:qFormat/>
    <w:uiPriority w:val="9"/>
    <w:pPr>
      <w:keepNext/>
      <w:keepLines/>
      <w:spacing w:before="260" w:after="260" w:line="416" w:lineRule="auto"/>
      <w:outlineLvl w:val="2"/>
    </w:pPr>
    <w:rPr>
      <w:b/>
      <w:bCs/>
      <w:sz w:val="32"/>
      <w:szCs w:val="32"/>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9"/>
    <w:qFormat/>
    <w:uiPriority w:val="0"/>
    <w:rPr>
      <w:sz w:val="18"/>
      <w:szCs w:val="18"/>
    </w:rPr>
  </w:style>
  <w:style w:type="paragraph" w:styleId="5">
    <w:name w:val="footer"/>
    <w:basedOn w:val="1"/>
    <w:link w:val="11"/>
    <w:qFormat/>
    <w:uiPriority w:val="0"/>
    <w:pPr>
      <w:tabs>
        <w:tab w:val="center" w:pos="4153"/>
        <w:tab w:val="right" w:pos="8306"/>
      </w:tabs>
      <w:snapToGrid w:val="0"/>
      <w:jc w:val="left"/>
    </w:pPr>
    <w:rPr>
      <w:sz w:val="18"/>
      <w:szCs w:val="18"/>
    </w:rPr>
  </w:style>
  <w:style w:type="paragraph" w:styleId="6">
    <w:name w:val="header"/>
    <w:basedOn w:val="1"/>
    <w:link w:val="10"/>
    <w:qFormat/>
    <w:uiPriority w:val="0"/>
    <w:pPr>
      <w:pBdr>
        <w:bottom w:val="single" w:color="auto" w:sz="6" w:space="1"/>
      </w:pBdr>
      <w:tabs>
        <w:tab w:val="center" w:pos="4153"/>
        <w:tab w:val="right" w:pos="8306"/>
      </w:tabs>
      <w:snapToGrid w:val="0"/>
      <w:jc w:val="center"/>
    </w:pPr>
    <w:rPr>
      <w:sz w:val="18"/>
      <w:szCs w:val="18"/>
    </w:rPr>
  </w:style>
  <w:style w:type="character" w:customStyle="1" w:styleId="9">
    <w:name w:val="批注框文本 Char"/>
    <w:basedOn w:val="8"/>
    <w:link w:val="4"/>
    <w:qFormat/>
    <w:uiPriority w:val="0"/>
    <w:rPr>
      <w:kern w:val="2"/>
      <w:sz w:val="18"/>
      <w:szCs w:val="18"/>
    </w:rPr>
  </w:style>
  <w:style w:type="character" w:customStyle="1" w:styleId="10">
    <w:name w:val="页眉 Char"/>
    <w:basedOn w:val="8"/>
    <w:link w:val="6"/>
    <w:uiPriority w:val="0"/>
    <w:rPr>
      <w:kern w:val="2"/>
      <w:sz w:val="18"/>
      <w:szCs w:val="18"/>
    </w:rPr>
  </w:style>
  <w:style w:type="character" w:customStyle="1" w:styleId="11">
    <w:name w:val="页脚 Char"/>
    <w:basedOn w:val="8"/>
    <w:link w:val="5"/>
    <w:qFormat/>
    <w:uiPriority w:val="0"/>
    <w:rPr>
      <w:kern w:val="2"/>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Pages>
  <Words>231</Words>
  <Characters>1318</Characters>
  <Lines>10</Lines>
  <Paragraphs>3</Paragraphs>
  <TotalTime>9</TotalTime>
  <ScaleCrop>false</ScaleCrop>
  <LinksUpToDate>false</LinksUpToDate>
  <CharactersWithSpaces>1546</CharactersWithSpaces>
  <Application>WPS Office_11.3.0.9228_F1E327BC-269C-435d-A152-05C5408002CA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2021-05-14T07:43:00Z</dcterms:created>
  <dc:creator>Administrator</dc:creator>
  <cp:lastModifiedBy>☆彳亍♂</cp:lastModifiedBy>
  <dcterms:modified xsi:type="dcterms:W3CDTF">2021-12-13T09:11:35Z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y fmtid="{D5CDD505-2E9C-101B-9397-08002B2CF9AE}" pid="3" name="ICV">
    <vt:lpwstr>F6F96C69B7874F9F8532322BE8A4BD0C</vt:lpwstr>
  </property>
</Properties>
</file>